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CA42ED" w:rsidRDefault="006F4319" w:rsidP="006F4319">
      <w:pPr>
        <w:pStyle w:val="Heading2"/>
        <w:rPr>
          <w:lang w:val="es-ES"/>
        </w:rPr>
      </w:pPr>
      <w:bookmarkStart w:id="0" w:name="_Toc129863966"/>
      <w:r>
        <w:rPr>
          <w:bCs/>
          <w:lang w:val="es"/>
        </w:rPr>
        <w:t>Resultados relacionados con el cambio de</w:t>
      </w:r>
      <w:bookmarkEnd w:id="0"/>
      <w:r>
        <w:rPr>
          <w:bCs/>
          <w:lang w:val="es"/>
        </w:rPr>
        <w:t xml:space="preserve"> puntos de influencia / estructuras y procesos transformadores</w:t>
      </w:r>
      <w:r>
        <w:rPr>
          <w:rFonts w:asciiTheme="minorHAnsi" w:hAnsiTheme="minorHAnsi"/>
          <w:b w:val="0"/>
          <w:caps w:val="0"/>
          <w:noProof/>
          <w:color w:val="auto"/>
          <w:sz w:val="22"/>
          <w:lang w:val="es"/>
        </w:rPr>
        <w:t xml:space="preserve"> </w:t>
      </w:r>
    </w:p>
    <w:p w14:paraId="6FF3F61E" w14:textId="78718D98" w:rsidR="006F4319" w:rsidRPr="00CA42ED" w:rsidRDefault="009F5D1B" w:rsidP="006F4319">
      <w:pPr>
        <w:pStyle w:val="Heading3"/>
        <w:rPr>
          <w:lang w:val="es-ES"/>
        </w:rPr>
      </w:pPr>
      <w:bookmarkStart w:id="1" w:name="_Toc129863967"/>
      <w:bookmarkStart w:id="2" w:name="OLE_LINK5"/>
      <w:bookmarkStart w:id="3" w:name="Indicator_1A"/>
      <w:r>
        <w:rPr>
          <w:lang w:val="es"/>
        </w:rPr>
        <w:t>Acceso a servicios: Indicador 6B</w:t>
      </w:r>
      <w:r>
        <w:rPr>
          <w:rStyle w:val="FootnoteReference"/>
          <w:lang w:val="es"/>
        </w:rPr>
        <w:footnoteReference w:id="2"/>
      </w:r>
      <w:bookmarkEnd w:id="1"/>
    </w:p>
    <w:tbl>
      <w:tblPr>
        <w:tblW w:w="9360" w:type="dxa"/>
        <w:tblLayout w:type="fixed"/>
        <w:tblLook w:val="04A0" w:firstRow="1" w:lastRow="0" w:firstColumn="1" w:lastColumn="0" w:noHBand="0" w:noVBand="1"/>
      </w:tblPr>
      <w:tblGrid>
        <w:gridCol w:w="9360"/>
      </w:tblGrid>
      <w:tr w:rsidR="0029621C" w:rsidRPr="007478DE" w14:paraId="159869D2" w14:textId="77777777" w:rsidTr="28A1B98D">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0CAFB058" w:rsidR="0029621C" w:rsidRPr="00CA42ED" w:rsidRDefault="0029621C" w:rsidP="0029621C">
            <w:pPr>
              <w:widowControl w:val="0"/>
              <w:tabs>
                <w:tab w:val="left" w:pos="9450"/>
              </w:tabs>
              <w:spacing w:after="0" w:line="254"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29621C" w:rsidRPr="007478DE" w14:paraId="5A0C3DC5"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44B13E40" w:rsidR="0029621C" w:rsidRPr="00CA42ED" w:rsidRDefault="0029621C" w:rsidP="0029621C">
            <w:pPr>
              <w:widowControl w:val="0"/>
              <w:tabs>
                <w:tab w:val="left" w:pos="9450"/>
              </w:tabs>
              <w:spacing w:before="3" w:after="0"/>
              <w:rPr>
                <w:rFonts w:ascii="Franklin Gothic Book" w:hAnsi="Franklin Gothic Book"/>
                <w:color w:val="000000"/>
                <w:lang w:val="es-ES"/>
              </w:rPr>
            </w:pPr>
            <w:r>
              <w:rPr>
                <w:rFonts w:ascii="Franklin Gothic Book" w:hAnsi="Franklin Gothic Book"/>
                <w:b/>
                <w:bCs/>
                <w:color w:val="000000" w:themeColor="text2"/>
                <w:lang w:val="es"/>
              </w:rPr>
              <w:t xml:space="preserve">Nombre del indicador: </w:t>
            </w:r>
            <w:r>
              <w:rPr>
                <w:rFonts w:ascii="Franklin Gothic Book" w:hAnsi="Franklin Gothic Book"/>
                <w:color w:val="000000" w:themeColor="text2"/>
                <w:lang w:val="es"/>
              </w:rPr>
              <w:t xml:space="preserve">6B – </w:t>
            </w:r>
            <w:bookmarkStart w:id="5" w:name="OLE_LINK58"/>
            <w:r>
              <w:rPr>
                <w:rFonts w:ascii="Franklin Gothic Book" w:hAnsi="Franklin Gothic Book"/>
                <w:color w:val="000000" w:themeColor="text2"/>
                <w:lang w:val="es"/>
              </w:rPr>
              <w:t>Cantidad de estructuras colectivas o instituciones dentro de un sistema con mejor acceso a servicios, prestaciones, protecciones o programas asociados con la mejora de derechos de los trabajadores</w:t>
            </w:r>
            <w:bookmarkEnd w:id="5"/>
          </w:p>
        </w:tc>
      </w:tr>
      <w:tr w:rsidR="0029621C" w:rsidRPr="007478DE" w14:paraId="059B744C" w14:textId="77777777" w:rsidTr="28A1B98D">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5551437B" w:rsidR="0029621C" w:rsidRPr="00CA42ED" w:rsidRDefault="0029621C" w:rsidP="0029621C">
            <w:pPr>
              <w:widowControl w:val="0"/>
              <w:tabs>
                <w:tab w:val="left" w:pos="9450"/>
              </w:tabs>
              <w:spacing w:before="1" w:after="0" w:line="271" w:lineRule="auto"/>
              <w:ind w:right="361"/>
              <w:rPr>
                <w:rFonts w:ascii="Franklin Gothic Book" w:hAnsi="Franklin Gothic Book"/>
                <w:color w:val="000000"/>
                <w:lang w:val="es-ES"/>
              </w:rPr>
            </w:pPr>
            <w:r>
              <w:rPr>
                <w:rFonts w:ascii="Franklin Gothic Book" w:eastAsia="Franklin Gothic Book" w:hAnsi="Franklin Gothic Book" w:cs="Times New Roman"/>
                <w:b/>
                <w:bCs/>
                <w:color w:val="000000"/>
                <w:lang w:val="es"/>
              </w:rPr>
              <w:t>Nombre del resultado medido</w:t>
            </w:r>
            <w:r>
              <w:rPr>
                <w:rFonts w:ascii="Franklin Gothic Book" w:eastAsia="Franklin Gothic Book" w:hAnsi="Franklin Gothic Book" w:cs="Times New Roman"/>
                <w:color w:val="000000"/>
                <w:lang w:val="es"/>
              </w:rPr>
              <w:t>: Mejor acceso a servicios, derechos, prestaciones, protecciones o programas asociados con la mejora de derechos de los trabajadores</w:t>
            </w:r>
          </w:p>
        </w:tc>
      </w:tr>
      <w:tr w:rsidR="0029621C" w14:paraId="4064F036"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1310C23E" w:rsidR="0029621C" w:rsidRPr="00E3638E" w:rsidRDefault="0029621C" w:rsidP="0029621C">
            <w:pPr>
              <w:widowControl w:val="0"/>
              <w:tabs>
                <w:tab w:val="left" w:pos="9450"/>
              </w:tabs>
              <w:spacing w:after="0" w:line="268"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DESCRIPCIÓN</w:t>
            </w:r>
          </w:p>
        </w:tc>
      </w:tr>
      <w:tr w:rsidR="0029621C" w:rsidRPr="007478DE" w14:paraId="3501F4F9" w14:textId="77777777" w:rsidTr="28A1B98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4B96445E" w14:textId="77777777" w:rsidR="0029621C" w:rsidRPr="00CA42ED" w:rsidRDefault="0029621C" w:rsidP="0029621C">
            <w:pPr>
              <w:widowControl w:val="0"/>
              <w:tabs>
                <w:tab w:val="left" w:pos="9450"/>
              </w:tabs>
              <w:spacing w:after="0" w:line="264" w:lineRule="auto"/>
              <w:rPr>
                <w:rFonts w:ascii="Franklin Gothic Book" w:eastAsia="Franklin Gothic Book" w:hAnsi="Franklin Gothic Book" w:cs="Times New Roman"/>
                <w:b/>
                <w:color w:val="000000"/>
                <w:lang w:val="es-ES"/>
              </w:rPr>
            </w:pPr>
            <w:r>
              <w:rPr>
                <w:rFonts w:ascii="Franklin Gothic Book" w:eastAsia="Franklin Gothic Book" w:hAnsi="Franklin Gothic Book" w:cs="Times New Roman"/>
                <w:b/>
                <w:bCs/>
                <w:color w:val="000000"/>
                <w:lang w:val="es"/>
              </w:rPr>
              <w:t xml:space="preserve">Definiciones generales: </w:t>
            </w:r>
          </w:p>
          <w:p w14:paraId="5EC9BA64" w14:textId="77777777" w:rsidR="0029621C" w:rsidRPr="00CA42ED" w:rsidRDefault="0029621C" w:rsidP="0029621C">
            <w:pPr>
              <w:widowControl w:val="0"/>
              <w:tabs>
                <w:tab w:val="left" w:pos="9450"/>
              </w:tabs>
              <w:spacing w:after="0" w:line="268" w:lineRule="auto"/>
              <w:rPr>
                <w:rFonts w:ascii="Franklin Gothic Book" w:hAnsi="Franklin Gothic Book"/>
                <w:bCs/>
                <w:color w:val="000000"/>
                <w:lang w:val="es-ES"/>
              </w:rPr>
            </w:pPr>
            <w:bookmarkStart w:id="6" w:name="OLE_LINK140"/>
            <w:bookmarkStart w:id="7" w:name="OLE_LINK139"/>
            <w:r>
              <w:rPr>
                <w:rFonts w:ascii="Franklin Gothic Book" w:hAnsi="Franklin Gothic Book"/>
                <w:color w:val="000000"/>
                <w:lang w:val="es"/>
              </w:rPr>
              <w:t>Los términos con definiciones estándar se vinculan con el glosario del apéndice A.</w:t>
            </w:r>
          </w:p>
          <w:bookmarkEnd w:id="6"/>
          <w:bookmarkEnd w:id="7"/>
          <w:p w14:paraId="7C006BE9" w14:textId="77777777" w:rsidR="0029621C" w:rsidRPr="00CA42ED" w:rsidRDefault="0029621C" w:rsidP="0029621C">
            <w:pPr>
              <w:widowControl w:val="0"/>
              <w:tabs>
                <w:tab w:val="left" w:pos="9450"/>
              </w:tabs>
              <w:spacing w:after="0" w:line="264" w:lineRule="auto"/>
              <w:rPr>
                <w:rFonts w:ascii="Franklin Gothic Book" w:hAnsi="Franklin Gothic Book"/>
                <w:b/>
                <w:bCs/>
                <w:lang w:val="es-ES"/>
              </w:rPr>
            </w:pPr>
          </w:p>
          <w:p w14:paraId="6E7A0D8C" w14:textId="77777777" w:rsidR="009E6E4E" w:rsidRPr="00CA42ED" w:rsidRDefault="00FC339B" w:rsidP="57BB6BBB">
            <w:pPr>
              <w:widowControl w:val="0"/>
              <w:tabs>
                <w:tab w:val="left" w:pos="9450"/>
              </w:tabs>
              <w:spacing w:after="0" w:line="264" w:lineRule="auto"/>
              <w:rPr>
                <w:rFonts w:ascii="Franklin Gothic Book" w:hAnsi="Franklin Gothic Book"/>
                <w:i/>
                <w:iCs/>
                <w:lang w:val="es-ES"/>
              </w:rPr>
            </w:pPr>
            <w:r>
              <w:rPr>
                <w:lang w:val="es"/>
              </w:rPr>
              <w:t xml:space="preserve">El término </w:t>
            </w:r>
            <w:hyperlink r:id="rId10" w:anchor="_Institutions">
              <w:r>
                <w:rPr>
                  <w:rStyle w:val="Hyperlink"/>
                  <w:b/>
                  <w:bCs/>
                  <w:u w:val="none"/>
                  <w:lang w:val="es"/>
                </w:rPr>
                <w:t>“Estructuras colectivas o instituciones”</w:t>
              </w:r>
            </w:hyperlink>
            <w:r>
              <w:rPr>
                <w:lang w:val="es"/>
              </w:rPr>
              <w:t xml:space="preserve"> </w:t>
            </w:r>
            <w:r>
              <w:rPr>
                <w:rFonts w:ascii="Franklin Gothic Book" w:hAnsi="Franklin Gothic Book" w:cs="TimesNewRomanPSMT"/>
                <w:lang w:val="es"/>
              </w:rPr>
              <w:t>puede interpretarse de dos maneras. Primero, pueden ser estructuras sociales producto de la creación colectiva y que están sometidas a modificación constante a lo largo del tiempo. Las instituciones también pueden ser “un conjunto de normas que rigen comportamientos interpersonales” (a veces llamadas “las reglas del juego”) que no poseen ni de las cuales es dueño un único actor, sino que las comparte un grupo más amplio o la sociedad. Puede consultarse más información en la publicación “</w:t>
            </w:r>
            <w:proofErr w:type="spellStart"/>
            <w:r>
              <w:fldChar w:fldCharType="begin"/>
            </w:r>
            <w:r w:rsidRPr="007478DE">
              <w:rPr>
                <w:lang w:val="es-US"/>
              </w:rPr>
              <w:instrText>HYPERLINK "https://documents.worldbank.org/en/publication/documents-reports/documentdetail/575481468740986684/the-role-of-institutions-in-development" \h</w:instrText>
            </w:r>
            <w:r>
              <w:fldChar w:fldCharType="separate"/>
            </w:r>
            <w:r>
              <w:rPr>
                <w:rStyle w:val="Hyperlink"/>
                <w:rFonts w:cs="TimesNewRomanPSMT"/>
                <w:color w:val="0000FF"/>
                <w:lang w:val="es"/>
              </w:rPr>
              <w:t>The</w:t>
            </w:r>
            <w:proofErr w:type="spellEnd"/>
            <w:r>
              <w:rPr>
                <w:rStyle w:val="Hyperlink"/>
                <w:rFonts w:cs="TimesNewRomanPSMT"/>
                <w:color w:val="0000FF"/>
                <w:lang w:val="es"/>
              </w:rPr>
              <w:t xml:space="preserve"> role </w:t>
            </w:r>
            <w:proofErr w:type="spellStart"/>
            <w:r>
              <w:rPr>
                <w:rStyle w:val="Hyperlink"/>
                <w:rFonts w:cs="TimesNewRomanPSMT"/>
                <w:color w:val="0000FF"/>
                <w:lang w:val="es"/>
              </w:rPr>
              <w:t>of</w:t>
            </w:r>
            <w:proofErr w:type="spellEnd"/>
            <w:r>
              <w:rPr>
                <w:rStyle w:val="Hyperlink"/>
                <w:rFonts w:cs="TimesNewRomanPSMT"/>
                <w:color w:val="0000FF"/>
                <w:lang w:val="es"/>
              </w:rPr>
              <w:t xml:space="preserve"> </w:t>
            </w:r>
            <w:proofErr w:type="spellStart"/>
            <w:r>
              <w:rPr>
                <w:rStyle w:val="Hyperlink"/>
                <w:rFonts w:cs="TimesNewRomanPSMT"/>
                <w:color w:val="0000FF"/>
                <w:lang w:val="es"/>
              </w:rPr>
              <w:t>institutions</w:t>
            </w:r>
            <w:proofErr w:type="spellEnd"/>
            <w:r>
              <w:rPr>
                <w:rStyle w:val="Hyperlink"/>
                <w:rFonts w:cs="TimesNewRomanPSMT"/>
                <w:color w:val="0000FF"/>
                <w:lang w:val="es"/>
              </w:rPr>
              <w:t xml:space="preserve"> in </w:t>
            </w:r>
            <w:proofErr w:type="spellStart"/>
            <w:r>
              <w:rPr>
                <w:rStyle w:val="Hyperlink"/>
                <w:rFonts w:cs="TimesNewRomanPSMT"/>
                <w:color w:val="0000FF"/>
                <w:lang w:val="es"/>
              </w:rPr>
              <w:t>development</w:t>
            </w:r>
            <w:proofErr w:type="spellEnd"/>
            <w:r>
              <w:rPr>
                <w:rStyle w:val="Hyperlink"/>
                <w:rFonts w:cs="TimesNewRomanPSMT"/>
                <w:color w:val="0000FF"/>
                <w:lang w:val="es"/>
              </w:rPr>
              <w:fldChar w:fldCharType="end"/>
            </w:r>
            <w:r>
              <w:rPr>
                <w:rFonts w:ascii="Franklin Gothic Book" w:hAnsi="Franklin Gothic Book" w:cs="TimesNewRomanPSMT"/>
                <w:lang w:val="es"/>
              </w:rPr>
              <w:t>” (La función de las instituciones en el desarrollo) del Banco Mundial.</w:t>
            </w:r>
          </w:p>
          <w:p w14:paraId="5B66A5F9" w14:textId="77777777" w:rsidR="009E6E4E" w:rsidRPr="00CA42ED" w:rsidRDefault="009E6E4E" w:rsidP="009E6E4E">
            <w:pPr>
              <w:widowControl w:val="0"/>
              <w:tabs>
                <w:tab w:val="left" w:pos="9450"/>
              </w:tabs>
              <w:spacing w:after="0" w:line="264" w:lineRule="auto"/>
              <w:rPr>
                <w:rFonts w:ascii="Franklin Gothic Book" w:eastAsia="Franklin Gothic Book" w:hAnsi="Franklin Gothic Book" w:cs="Times New Roman"/>
                <w:lang w:val="es-ES"/>
              </w:rPr>
            </w:pPr>
          </w:p>
          <w:p w14:paraId="74DCB740" w14:textId="0C1E8565" w:rsidR="0029621C" w:rsidRPr="00CA42ED" w:rsidRDefault="00FC339B" w:rsidP="0029621C">
            <w:pPr>
              <w:widowControl w:val="0"/>
              <w:tabs>
                <w:tab w:val="left" w:pos="9450"/>
              </w:tabs>
              <w:spacing w:after="0" w:line="264" w:lineRule="auto"/>
              <w:rPr>
                <w:rFonts w:ascii="Franklin Gothic Book" w:eastAsia="Franklin Gothic Book" w:hAnsi="Franklin Gothic Book" w:cs="Franklin Gothic Book"/>
                <w:lang w:val="es-ES"/>
              </w:rPr>
            </w:pPr>
            <w:r>
              <w:rPr>
                <w:lang w:val="es"/>
              </w:rPr>
              <w:t xml:space="preserve">Un </w:t>
            </w:r>
            <w:hyperlink r:id="rId11" w:anchor="_System">
              <w:r>
                <w:rPr>
                  <w:rStyle w:val="Hyperlink"/>
                  <w:b/>
                  <w:bCs/>
                  <w:u w:val="none"/>
                  <w:lang w:val="es"/>
                </w:rPr>
                <w:t>“sistema”</w:t>
              </w:r>
            </w:hyperlink>
            <w:r>
              <w:rPr>
                <w:b/>
                <w:bCs/>
                <w:lang w:val="es"/>
              </w:rPr>
              <w:t xml:space="preserve"> </w:t>
            </w:r>
            <w:r>
              <w:rPr>
                <w:rStyle w:val="Hyperlink"/>
                <w:u w:val="none"/>
                <w:lang w:val="es"/>
              </w:rPr>
              <w:t>es</w:t>
            </w:r>
            <w:r>
              <w:rPr>
                <w:lang w:val="es"/>
              </w:rPr>
              <w:t xml:space="preserve"> </w:t>
            </w:r>
            <w:r>
              <w:rPr>
                <w:rFonts w:ascii="Franklin Gothic Book" w:hAnsi="Franklin Gothic Book"/>
                <w:lang w:val="es"/>
              </w:rPr>
              <w:t>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w:t>
            </w:r>
            <w:r>
              <w:rPr>
                <w:lang w:val="es"/>
              </w:rPr>
              <w:t xml:space="preserve"> </w:t>
            </w:r>
            <w:hyperlink r:id="rId12" w:history="1">
              <w:proofErr w:type="spellStart"/>
              <w:r>
                <w:rPr>
                  <w:rStyle w:val="Hyperlink"/>
                  <w:rFonts w:eastAsia="Franklin Gothic Book" w:cs="Franklin Gothic Book"/>
                  <w:color w:val="0000FF"/>
                  <w:lang w:val="es"/>
                </w:rPr>
                <w:t>Introduction</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to</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Systems</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Thinking</w:t>
              </w:r>
              <w:proofErr w:type="spellEnd"/>
            </w:hyperlink>
            <w:r>
              <w:rPr>
                <w:lang w:val="es"/>
              </w:rPr>
              <w:t xml:space="preserve"> </w:t>
            </w:r>
            <w:r>
              <w:rPr>
                <w:rFonts w:ascii="Franklin Gothic Book" w:hAnsi="Franklin Gothic Book"/>
                <w:lang w:val="es"/>
              </w:rPr>
              <w:t xml:space="preserve">(Introducción al pensamiento de sistemas). </w:t>
            </w:r>
          </w:p>
          <w:p w14:paraId="29392FFB" w14:textId="77777777" w:rsidR="00085F7B" w:rsidRPr="00CA42ED" w:rsidRDefault="00085F7B" w:rsidP="0029621C">
            <w:pPr>
              <w:widowControl w:val="0"/>
              <w:tabs>
                <w:tab w:val="left" w:pos="9450"/>
              </w:tabs>
              <w:spacing w:after="0" w:line="264" w:lineRule="auto"/>
              <w:rPr>
                <w:rFonts w:ascii="Franklin Gothic Book" w:eastAsia="Franklin Gothic Book" w:hAnsi="Franklin Gothic Book" w:cs="Times New Roman"/>
                <w:color w:val="CA1F41" w:themeColor="accent1"/>
                <w:lang w:val="es-ES"/>
              </w:rPr>
            </w:pPr>
          </w:p>
          <w:p w14:paraId="526F0A22" w14:textId="77777777" w:rsidR="0029621C" w:rsidRPr="00CA42ED" w:rsidRDefault="00594FD4" w:rsidP="0029621C">
            <w:pPr>
              <w:spacing w:after="0"/>
              <w:rPr>
                <w:rFonts w:ascii="Franklin Gothic Book" w:hAnsi="Franklin Gothic Book"/>
                <w:lang w:val="es-ES"/>
              </w:rPr>
            </w:pPr>
            <w:hyperlink r:id="rId13" w:anchor="_Access" w:history="1">
              <w:r w:rsidR="00FC339B">
                <w:rPr>
                  <w:rStyle w:val="Hyperlink"/>
                  <w:b/>
                  <w:bCs/>
                  <w:u w:val="none"/>
                  <w:lang w:val="es"/>
                </w:rPr>
                <w:t>“Acceso a servicios, prestaciones, protecciones o programas”</w:t>
              </w:r>
            </w:hyperlink>
            <w:r w:rsidR="00FC339B">
              <w:rPr>
                <w:rFonts w:ascii="Franklin Gothic Book" w:hAnsi="Franklin Gothic Book"/>
                <w:lang w:val="es"/>
              </w:rPr>
              <w:t xml:space="preserve"> </w:t>
            </w:r>
          </w:p>
          <w:p w14:paraId="08E4AC2C" w14:textId="35984DDD" w:rsidR="0029621C" w:rsidRPr="00CA42ED" w:rsidRDefault="0029621C" w:rsidP="0029621C">
            <w:pPr>
              <w:spacing w:after="0"/>
              <w:rPr>
                <w:rFonts w:ascii="Franklin Gothic Book" w:hAnsi="Franklin Gothic Book"/>
                <w:lang w:val="es-ES"/>
              </w:rPr>
            </w:pPr>
            <w:r>
              <w:rPr>
                <w:rFonts w:ascii="Franklin Gothic Book" w:hAnsi="Franklin Gothic Book"/>
                <w:lang w:val="es"/>
              </w:rPr>
              <w:t xml:space="preserve">Por ejemplo, puede considerarse que un lugar de trabajo (p. ej., granja, molino, fábrica) tiene acceso a algunos servicios de seguridad laboral si hay un proveedor local de equipo de protección personal (EPP) que pueda proporcionar con continuidad EPP a un precio razonable. </w:t>
            </w:r>
          </w:p>
          <w:p w14:paraId="47ADC417" w14:textId="77777777" w:rsidR="0029621C" w:rsidRPr="00CA42ED" w:rsidRDefault="0029621C" w:rsidP="0029621C">
            <w:pPr>
              <w:spacing w:after="0"/>
              <w:rPr>
                <w:rFonts w:ascii="Franklin Gothic Book" w:hAnsi="Franklin Gothic Book"/>
                <w:lang w:val="es-ES"/>
              </w:rPr>
            </w:pPr>
          </w:p>
          <w:p w14:paraId="7048715B" w14:textId="77777777" w:rsidR="0029621C" w:rsidRPr="00CA42ED" w:rsidRDefault="0029621C" w:rsidP="0029621C">
            <w:pPr>
              <w:widowControl w:val="0"/>
              <w:spacing w:after="0" w:line="264" w:lineRule="auto"/>
              <w:rPr>
                <w:rFonts w:ascii="Franklin Gothic Book" w:eastAsia="Franklin Gothic Book" w:hAnsi="Franklin Gothic Book" w:cs="Times New Roman"/>
                <w:i/>
                <w:iCs/>
                <w:color w:val="CA1F41" w:themeColor="accent1"/>
                <w:lang w:val="es-ES"/>
              </w:rPr>
            </w:pPr>
            <w:r>
              <w:rPr>
                <w:rFonts w:ascii="Franklin Gothic Book" w:eastAsia="Franklin Gothic Book" w:hAnsi="Franklin Gothic Book" w:cs="Times New Roman"/>
                <w:lang w:val="es"/>
              </w:rPr>
              <w:t xml:space="preserve">Los siguientes son ejemplos de servicios o procesos pertinentes: negociación colectiva, conciliación, resolución de controversias, mediación, asesoramiento jurídico, manejo de reclamaciones, medidas correctivas, asistencia para cumplimiento normativo, diálogo social bipartito o tripartito a nivel de empresa o de sector, presentación o manejo de querellas o demandas, flujos de información, sanciones, procedimientos operativos estándar, protección social </w:t>
            </w:r>
            <w:r>
              <w:rPr>
                <w:rFonts w:ascii="Franklin Gothic Book" w:eastAsia="Franklin Gothic Book" w:hAnsi="Franklin Gothic Book" w:cs="Times New Roman"/>
                <w:lang w:val="es"/>
              </w:rPr>
              <w:lastRenderedPageBreak/>
              <w:t>y redes de contención, y gestión de recursos humanos (incluidos contratación, capacitación y desarrollo, evaluación de desempeño y administración de premios, tales como administración de pagos y sistemas de prestaciones para empleados).</w:t>
            </w:r>
          </w:p>
          <w:p w14:paraId="2631A972" w14:textId="77777777" w:rsidR="0029621C" w:rsidRPr="00CA42ED" w:rsidRDefault="0029621C" w:rsidP="0029621C">
            <w:pPr>
              <w:widowControl w:val="0"/>
              <w:tabs>
                <w:tab w:val="left" w:pos="9450"/>
              </w:tabs>
              <w:spacing w:after="0" w:line="264" w:lineRule="auto"/>
              <w:rPr>
                <w:rFonts w:ascii="Franklin Gothic Book" w:eastAsia="Franklin Gothic Book" w:hAnsi="Franklin Gothic Book" w:cs="Times New Roman"/>
                <w:i/>
                <w:iCs/>
                <w:color w:val="CA1F41" w:themeColor="accent1"/>
                <w:lang w:val="es-ES"/>
              </w:rPr>
            </w:pPr>
          </w:p>
          <w:p w14:paraId="5A3E37C7" w14:textId="0FBFE016" w:rsidR="0029621C" w:rsidRPr="00CA42ED" w:rsidRDefault="0029621C" w:rsidP="0029621C">
            <w:pPr>
              <w:widowControl w:val="0"/>
              <w:tabs>
                <w:tab w:val="left" w:pos="9450"/>
              </w:tabs>
              <w:spacing w:after="0" w:line="264" w:lineRule="auto"/>
              <w:rPr>
                <w:rFonts w:ascii="Franklin Gothic Book" w:hAnsi="Franklin Gothic Book"/>
                <w:lang w:val="es-ES"/>
              </w:rPr>
            </w:pPr>
            <w:r>
              <w:rPr>
                <w:rFonts w:ascii="Franklin Gothic Book" w:hAnsi="Franklin Gothic Book"/>
                <w:b/>
                <w:bCs/>
                <w:lang w:val="es"/>
              </w:rPr>
              <w:t xml:space="preserve">“Mejor acceso” </w:t>
            </w:r>
            <w:r>
              <w:rPr>
                <w:rFonts w:ascii="Franklin Gothic Book" w:hAnsi="Franklin Gothic Book"/>
                <w:lang w:val="es"/>
              </w:rPr>
              <w:t>es acceso a servicios, prestaciones, protecciones o programas (conforme se describen más arriba) que el proyecto creó o que se fortalecieron mediante el proyecto. Para que se los considere “mejor acceso”, los servicios, las prestaciones, las protecciones y los programas deben ser sostenibles. Es decir, debe brindárselos dentro del sistema local de manera tal que el acceso recién creado o fortalecido a los servicios pueda mantenerse después de que termine el programa.</w:t>
            </w:r>
          </w:p>
          <w:p w14:paraId="1FEEC46E" w14:textId="77777777" w:rsidR="0029621C" w:rsidRPr="00CA42ED" w:rsidRDefault="0029621C" w:rsidP="0029621C">
            <w:pPr>
              <w:widowControl w:val="0"/>
              <w:tabs>
                <w:tab w:val="left" w:pos="9450"/>
              </w:tabs>
              <w:spacing w:after="0" w:line="264" w:lineRule="auto"/>
              <w:rPr>
                <w:rFonts w:ascii="Franklin Gothic Book" w:eastAsia="Franklin Gothic Book" w:hAnsi="Franklin Gothic Book" w:cs="Times New Roman"/>
                <w:lang w:val="es-ES"/>
              </w:rPr>
            </w:pPr>
          </w:p>
          <w:p w14:paraId="5082624D" w14:textId="25F28275" w:rsidR="0029621C" w:rsidRPr="00CA42ED" w:rsidRDefault="0029621C" w:rsidP="0029621C">
            <w:pPr>
              <w:widowControl w:val="0"/>
              <w:tabs>
                <w:tab w:val="left" w:pos="9450"/>
              </w:tabs>
              <w:spacing w:after="0" w:line="268" w:lineRule="auto"/>
              <w:rPr>
                <w:rFonts w:ascii="Franklin Gothic Book" w:hAnsi="Franklin Gothic Book"/>
                <w:b/>
                <w:color w:val="000000"/>
                <w:lang w:val="es-ES"/>
              </w:rPr>
            </w:pPr>
            <w:bookmarkStart w:id="8" w:name="OLE_LINK145"/>
            <w:r>
              <w:rPr>
                <w:rFonts w:ascii="Franklin Gothic Book" w:hAnsi="Franklin Gothic Book"/>
                <w:b/>
                <w:bCs/>
                <w:lang w:val="es"/>
              </w:rPr>
              <w:t>“Asociados con la mejora de derechos de los trabajadores”</w:t>
            </w:r>
            <w:r>
              <w:rPr>
                <w:rFonts w:ascii="Franklin Gothic Book" w:hAnsi="Franklin Gothic Book"/>
                <w:lang w:val="es"/>
              </w:rPr>
              <w:t xml:space="preserve"> es un calificador que indica que en este indicador solo deben incluirse estructuras o instituciones a las cuales se les haya proporcionado mejor acceso a servicios, prestaciones, protecciones o programas asociados con la mejora de derechos de los trabajadores. No debe incluirse el acceso otros servicios, prestaciones, protecciones o programas no asociados con la mejora derechos de trabajadores.</w:t>
            </w:r>
            <w:bookmarkEnd w:id="8"/>
          </w:p>
        </w:tc>
      </w:tr>
      <w:tr w:rsidR="0029621C" w:rsidRPr="007478DE" w14:paraId="6A1B9851" w14:textId="77777777" w:rsidTr="28A1B98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4AFD8E8C" w14:textId="77777777" w:rsidR="0029621C" w:rsidRPr="00CA42ED" w:rsidRDefault="0029621C" w:rsidP="0029621C">
            <w:pPr>
              <w:widowControl w:val="0"/>
              <w:tabs>
                <w:tab w:val="left" w:pos="9450"/>
              </w:tabs>
              <w:spacing w:after="0" w:line="266" w:lineRule="auto"/>
              <w:rPr>
                <w:rFonts w:ascii="Franklin Gothic Book" w:hAnsi="Franklin Gothic Book"/>
                <w:i/>
                <w:color w:val="CA1F41" w:themeColor="accent1"/>
                <w:lang w:val="es-ES"/>
              </w:rPr>
            </w:pPr>
            <w:r>
              <w:rPr>
                <w:rFonts w:ascii="Franklin Gothic Book" w:hAnsi="Franklin Gothic Book"/>
                <w:b/>
                <w:bCs/>
                <w:color w:val="000000"/>
                <w:lang w:val="es"/>
              </w:rPr>
              <w:lastRenderedPageBreak/>
              <w:t xml:space="preserve">Guía para alinear términos de indicadores del proyecto con términos de indicadores estándar de resultados: </w:t>
            </w:r>
          </w:p>
          <w:p w14:paraId="7C5260BB" w14:textId="77777777" w:rsidR="0029621C" w:rsidRPr="00CA42ED" w:rsidRDefault="0029621C" w:rsidP="0029621C">
            <w:pPr>
              <w:widowControl w:val="0"/>
              <w:tabs>
                <w:tab w:val="left" w:pos="9450"/>
              </w:tabs>
              <w:spacing w:after="0" w:line="264" w:lineRule="auto"/>
              <w:rPr>
                <w:rFonts w:ascii="Franklin Gothic Book" w:eastAsia="Franklin Gothic Book" w:hAnsi="Franklin Gothic Book" w:cs="Times New Roman"/>
                <w:b/>
                <w:color w:val="000000"/>
                <w:lang w:val="es-ES"/>
              </w:rPr>
            </w:pPr>
          </w:p>
          <w:p w14:paraId="7F55D7E5" w14:textId="77777777" w:rsidR="0029621C" w:rsidRPr="00E3638E" w:rsidRDefault="0029621C" w:rsidP="0029621C">
            <w:pPr>
              <w:widowControl w:val="0"/>
              <w:tabs>
                <w:tab w:val="left" w:pos="9450"/>
              </w:tabs>
              <w:spacing w:after="0" w:line="264" w:lineRule="auto"/>
              <w:rPr>
                <w:rFonts w:ascii="Franklin Gothic Book" w:hAnsi="Franklin Gothic Book"/>
              </w:rPr>
            </w:pPr>
            <w:r>
              <w:rPr>
                <w:rFonts w:ascii="Franklin Gothic Book" w:hAnsi="Franklin Gothic Book"/>
                <w:b/>
                <w:bCs/>
                <w:lang w:val="es"/>
              </w:rPr>
              <w:t xml:space="preserve">“Estructuras colectivas o instituciones” </w:t>
            </w:r>
          </w:p>
          <w:p w14:paraId="1B487709" w14:textId="5591AB0D" w:rsidR="0029621C" w:rsidRPr="00CA42ED" w:rsidRDefault="0029621C" w:rsidP="0029621C">
            <w:pPr>
              <w:pStyle w:val="ListParagraph"/>
              <w:widowControl w:val="0"/>
              <w:numPr>
                <w:ilvl w:val="0"/>
                <w:numId w:val="1"/>
              </w:numPr>
              <w:tabs>
                <w:tab w:val="left" w:pos="9450"/>
              </w:tabs>
              <w:spacing w:after="0" w:line="264"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tipos de estructuras colectivas o instituciones que se tomarán en cuenta para este indicador. Podría tratarse de organizaciones tales como empresas, granjas, cooperativas, sindicatos, oficinas estatales o provinciales de inspección, asociaciones industriales, tribunales y organizaciones comunitarias u organizaciones no gubernamentales que presten servicios, entre otras.</w:t>
            </w:r>
          </w:p>
          <w:p w14:paraId="460B5E13" w14:textId="77777777" w:rsidR="0029621C" w:rsidRPr="00CA42ED" w:rsidRDefault="0029621C" w:rsidP="0029621C">
            <w:pPr>
              <w:widowControl w:val="0"/>
              <w:tabs>
                <w:tab w:val="left" w:pos="9450"/>
              </w:tabs>
              <w:spacing w:after="0" w:line="264" w:lineRule="auto"/>
              <w:rPr>
                <w:rFonts w:ascii="Franklin Gothic Book" w:hAnsi="Franklin Gothic Book"/>
                <w:i/>
                <w:iCs/>
                <w:color w:val="CA1F41" w:themeColor="accent1"/>
                <w:lang w:val="es-ES"/>
              </w:rPr>
            </w:pPr>
          </w:p>
          <w:p w14:paraId="3D24D585" w14:textId="77777777" w:rsidR="0029621C" w:rsidRPr="00E3638E" w:rsidRDefault="0029621C" w:rsidP="0029621C">
            <w:pPr>
              <w:widowControl w:val="0"/>
              <w:tabs>
                <w:tab w:val="left" w:pos="9450"/>
              </w:tabs>
              <w:spacing w:after="0" w:line="266" w:lineRule="auto"/>
              <w:rPr>
                <w:rFonts w:ascii="Franklin Gothic Book" w:hAnsi="Franklin Gothic Book"/>
              </w:rPr>
            </w:pPr>
            <w:r>
              <w:rPr>
                <w:rFonts w:ascii="Franklin Gothic Book" w:hAnsi="Franklin Gothic Book"/>
                <w:b/>
                <w:bCs/>
                <w:lang w:val="es"/>
              </w:rPr>
              <w:t>“Sistema(s)”</w:t>
            </w:r>
            <w:r>
              <w:rPr>
                <w:rFonts w:ascii="Franklin Gothic Book" w:hAnsi="Franklin Gothic Book"/>
                <w:lang w:val="es"/>
              </w:rPr>
              <w:t xml:space="preserve"> </w:t>
            </w:r>
          </w:p>
          <w:p w14:paraId="49202842" w14:textId="77777777" w:rsidR="0029621C" w:rsidRPr="00CA42ED" w:rsidRDefault="0029621C" w:rsidP="0029621C">
            <w:pPr>
              <w:pStyle w:val="ListParagraph"/>
              <w:widowControl w:val="0"/>
              <w:numPr>
                <w:ilvl w:val="0"/>
                <w:numId w:val="1"/>
              </w:numPr>
              <w:tabs>
                <w:tab w:val="left" w:pos="9450"/>
              </w:tabs>
              <w:spacing w:after="0" w:line="268"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71B536C1" w14:textId="77777777" w:rsidR="0029621C" w:rsidRPr="00CA42ED" w:rsidRDefault="0029621C" w:rsidP="0029621C">
            <w:pPr>
              <w:widowControl w:val="0"/>
              <w:tabs>
                <w:tab w:val="left" w:pos="9450"/>
              </w:tabs>
              <w:spacing w:after="0" w:line="264" w:lineRule="auto"/>
              <w:rPr>
                <w:rFonts w:ascii="Franklin Gothic Book" w:hAnsi="Franklin Gothic Book" w:cs="Times New Roman"/>
                <w:i/>
                <w:iCs/>
                <w:color w:val="CA1F41" w:themeColor="accent1"/>
                <w:lang w:val="es-ES"/>
              </w:rPr>
            </w:pPr>
          </w:p>
          <w:p w14:paraId="50026E97" w14:textId="77777777" w:rsidR="0029621C" w:rsidRPr="00CA42ED" w:rsidRDefault="0029621C" w:rsidP="0029621C">
            <w:pPr>
              <w:widowControl w:val="0"/>
              <w:tabs>
                <w:tab w:val="left" w:pos="9450"/>
              </w:tabs>
              <w:spacing w:after="0" w:line="264" w:lineRule="auto"/>
              <w:rPr>
                <w:rFonts w:ascii="Franklin Gothic Book" w:eastAsia="Franklin Gothic Book" w:hAnsi="Franklin Gothic Book" w:cs="Times New Roman"/>
                <w:b/>
                <w:bCs/>
                <w:lang w:val="es-ES"/>
              </w:rPr>
            </w:pPr>
            <w:r>
              <w:rPr>
                <w:rFonts w:ascii="Franklin Gothic Book" w:eastAsia="Franklin Gothic Book" w:hAnsi="Franklin Gothic Book" w:cs="Times New Roman"/>
                <w:b/>
                <w:bCs/>
                <w:lang w:val="es"/>
              </w:rPr>
              <w:t xml:space="preserve">“Acceso a servicios, prestaciones, protecciones o programas” </w:t>
            </w:r>
          </w:p>
          <w:p w14:paraId="08598707" w14:textId="77777777" w:rsidR="0029621C" w:rsidRPr="00CA42ED" w:rsidRDefault="0029621C" w:rsidP="0029621C">
            <w:pPr>
              <w:pStyle w:val="ListParagraph"/>
              <w:widowControl w:val="0"/>
              <w:numPr>
                <w:ilvl w:val="0"/>
                <w:numId w:val="1"/>
              </w:numPr>
              <w:tabs>
                <w:tab w:val="left" w:pos="9450"/>
              </w:tabs>
              <w:spacing w:after="0" w:line="264" w:lineRule="auto"/>
              <w:rPr>
                <w:rFonts w:ascii="Franklin Gothic Book" w:hAnsi="Franklin Gothic Book" w:cs="Times New Roman"/>
                <w:i/>
                <w:iCs/>
                <w:color w:val="CA1F41" w:themeColor="accent1"/>
                <w:lang w:val="es-ES"/>
              </w:rPr>
            </w:pPr>
            <w:r>
              <w:rPr>
                <w:rFonts w:ascii="Franklin Gothic Book" w:hAnsi="Franklin Gothic Book"/>
                <w:i/>
                <w:iCs/>
                <w:color w:val="CA1F41" w:themeColor="accent1"/>
                <w:lang w:val="es"/>
              </w:rPr>
              <w:t>Incluya en las definiciones de indicador del proyecto cómo medirá el acceso a servicios, prestaciones, protecciones o programas asociados con la mejora de derechos de los trabajadores.</w:t>
            </w:r>
          </w:p>
          <w:p w14:paraId="6D9DC7CB" w14:textId="77777777" w:rsidR="0029621C" w:rsidRPr="00CA42ED" w:rsidRDefault="0029621C" w:rsidP="0029621C">
            <w:pPr>
              <w:widowControl w:val="0"/>
              <w:tabs>
                <w:tab w:val="left" w:pos="9450"/>
              </w:tabs>
              <w:spacing w:after="0" w:line="264" w:lineRule="auto"/>
              <w:rPr>
                <w:rFonts w:ascii="Franklin Gothic Book" w:hAnsi="Franklin Gothic Book" w:cs="Times New Roman"/>
                <w:color w:val="CA1F41" w:themeColor="accent1"/>
                <w:lang w:val="es-ES"/>
              </w:rPr>
            </w:pPr>
          </w:p>
          <w:p w14:paraId="5906B60C" w14:textId="77777777" w:rsidR="0029621C" w:rsidRPr="00E3638E" w:rsidRDefault="0029621C" w:rsidP="0029621C">
            <w:pPr>
              <w:widowControl w:val="0"/>
              <w:tabs>
                <w:tab w:val="left" w:pos="9450"/>
              </w:tabs>
              <w:spacing w:after="0" w:line="264" w:lineRule="auto"/>
              <w:rPr>
                <w:rFonts w:ascii="Franklin Gothic Book" w:hAnsi="Franklin Gothic Book"/>
              </w:rPr>
            </w:pPr>
            <w:r>
              <w:rPr>
                <w:rFonts w:ascii="Franklin Gothic Book" w:hAnsi="Franklin Gothic Book"/>
                <w:b/>
                <w:bCs/>
                <w:lang w:val="es"/>
              </w:rPr>
              <w:t xml:space="preserve">“Mejor acceso” </w:t>
            </w:r>
          </w:p>
          <w:p w14:paraId="7182DB93" w14:textId="77777777" w:rsidR="0029621C" w:rsidRPr="00CA42ED" w:rsidRDefault="0029621C" w:rsidP="0029621C">
            <w:pPr>
              <w:pStyle w:val="ListParagraph"/>
              <w:widowControl w:val="0"/>
              <w:numPr>
                <w:ilvl w:val="0"/>
                <w:numId w:val="1"/>
              </w:numPr>
              <w:tabs>
                <w:tab w:val="left" w:pos="9450"/>
              </w:tabs>
              <w:spacing w:after="0" w:line="264" w:lineRule="auto"/>
              <w:rPr>
                <w:rFonts w:ascii="Franklin Gothic Book" w:hAnsi="Franklin Gothic Book"/>
                <w:i/>
                <w:iCs/>
                <w:color w:val="CA1F41" w:themeColor="accent1"/>
                <w:lang w:val="es-ES"/>
              </w:rPr>
            </w:pPr>
            <w:r>
              <w:rPr>
                <w:rFonts w:ascii="Franklin Gothic Book" w:hAnsi="Franklin Gothic Book"/>
                <w:i/>
                <w:iCs/>
                <w:color w:val="CA1F41" w:themeColor="accent1"/>
                <w:lang w:val="es"/>
              </w:rPr>
              <w:t>Incluya en las definiciones de indicador del proyecto los criterios que se seguirán para determinar si el acceso ha mejorado como resultado de las actividades del proyecto.</w:t>
            </w:r>
          </w:p>
          <w:p w14:paraId="442E81D9" w14:textId="77777777" w:rsidR="0029621C" w:rsidRPr="00CA42ED" w:rsidRDefault="0029621C" w:rsidP="0029621C">
            <w:pPr>
              <w:widowControl w:val="0"/>
              <w:tabs>
                <w:tab w:val="left" w:pos="9450"/>
              </w:tabs>
              <w:spacing w:after="0" w:line="264" w:lineRule="auto"/>
              <w:rPr>
                <w:rFonts w:ascii="Franklin Gothic Book" w:eastAsia="Franklin Gothic Book" w:hAnsi="Franklin Gothic Book" w:cs="Times New Roman"/>
                <w:i/>
                <w:iCs/>
                <w:color w:val="CA1F41" w:themeColor="accent1"/>
                <w:lang w:val="es-ES"/>
              </w:rPr>
            </w:pPr>
          </w:p>
          <w:p w14:paraId="47384DF4" w14:textId="77777777" w:rsidR="0029621C" w:rsidRPr="00CA42ED" w:rsidRDefault="0029621C" w:rsidP="0029621C">
            <w:pPr>
              <w:widowControl w:val="0"/>
              <w:tabs>
                <w:tab w:val="left" w:pos="9450"/>
              </w:tabs>
              <w:spacing w:after="0" w:line="264" w:lineRule="auto"/>
              <w:rPr>
                <w:rFonts w:ascii="Franklin Gothic Book" w:hAnsi="Franklin Gothic Book"/>
                <w:b/>
                <w:bCs/>
                <w:lang w:val="es-ES"/>
              </w:rPr>
            </w:pPr>
            <w:r>
              <w:rPr>
                <w:rFonts w:ascii="Franklin Gothic Book" w:hAnsi="Franklin Gothic Book"/>
                <w:b/>
                <w:bCs/>
                <w:lang w:val="es"/>
              </w:rPr>
              <w:t xml:space="preserve">“Asociados con la mejora de derechos de los trabajadores” </w:t>
            </w:r>
          </w:p>
          <w:p w14:paraId="5CEF79AC" w14:textId="1AD00425" w:rsidR="0029621C" w:rsidRPr="00CA42ED" w:rsidRDefault="0029621C" w:rsidP="00085F7B">
            <w:pPr>
              <w:pStyle w:val="ListParagraph"/>
              <w:widowControl w:val="0"/>
              <w:numPr>
                <w:ilvl w:val="0"/>
                <w:numId w:val="1"/>
              </w:numPr>
              <w:tabs>
                <w:tab w:val="left" w:pos="9450"/>
              </w:tabs>
              <w:spacing w:after="0" w:line="264" w:lineRule="auto"/>
              <w:rPr>
                <w:rFonts w:ascii="Franklin Gothic Book" w:eastAsia="Franklin Gothic Book" w:hAnsi="Franklin Gothic Book" w:cs="Times New Roman"/>
                <w:i/>
                <w:iCs/>
                <w:color w:val="CA1F41" w:themeColor="accent1"/>
                <w:lang w:val="es-ES"/>
              </w:rPr>
            </w:pPr>
            <w:r>
              <w:rPr>
                <w:rFonts w:ascii="Franklin Gothic Book" w:hAnsi="Franklin Gothic Book"/>
                <w:i/>
                <w:iCs/>
                <w:color w:val="CA1F41" w:themeColor="accent1"/>
                <w:lang w:val="es"/>
              </w:rPr>
              <w:t>Incluya en las definiciones de indicador del proyecto qué servicios, prestaciones, protecciones o programas asociados con la mejora de derechos de los trabajadores se incluyen.</w:t>
            </w:r>
          </w:p>
        </w:tc>
      </w:tr>
      <w:tr w:rsidR="0029621C" w:rsidRPr="007478DE" w14:paraId="45A89DAB" w14:textId="77777777" w:rsidTr="28A1B98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7DCFDFDC" w:rsidR="0029621C" w:rsidRPr="00CA42ED" w:rsidRDefault="0029621C" w:rsidP="07E24F19">
            <w:pPr>
              <w:widowControl w:val="0"/>
              <w:tabs>
                <w:tab w:val="left" w:pos="9450"/>
              </w:tabs>
              <w:spacing w:after="0" w:line="266" w:lineRule="auto"/>
              <w:rPr>
                <w:rFonts w:ascii="Franklin Gothic Book" w:hAnsi="Franklin Gothic Book"/>
                <w:i/>
                <w:iCs/>
                <w:color w:val="000000"/>
                <w:lang w:val="es-ES"/>
              </w:rPr>
            </w:pPr>
            <w:r>
              <w:rPr>
                <w:rFonts w:ascii="Franklin Gothic Book" w:hAnsi="Franklin Gothic Book"/>
                <w:b/>
                <w:bCs/>
                <w:color w:val="000000" w:themeColor="text2"/>
                <w:lang w:val="es"/>
              </w:rPr>
              <w:t xml:space="preserve">Cálculo(s): </w:t>
            </w:r>
            <w:r>
              <w:rPr>
                <w:rFonts w:ascii="Franklin Gothic Book" w:hAnsi="Franklin Gothic Book"/>
                <w:i/>
                <w:iCs/>
                <w:color w:val="CA1F41" w:themeColor="accent1"/>
                <w:lang w:val="es"/>
              </w:rPr>
              <w:t xml:space="preserve">¿Cómo medirá específicamente cada indicador? Por ejemplo, si va a recopilar datos a partir de una encuesta, ¿qué preguntas de la encuesta y qué opciones de respuesta a esas </w:t>
            </w:r>
            <w:r>
              <w:rPr>
                <w:rFonts w:ascii="Franklin Gothic Book" w:hAnsi="Franklin Gothic Book"/>
                <w:i/>
                <w:iCs/>
                <w:color w:val="CA1F41" w:themeColor="accent1"/>
                <w:lang w:val="es"/>
              </w:rPr>
              <w:lastRenderedPageBreak/>
              <w:t>preguntas usará para determinar si es posible incluir una organización en el indicador?</w:t>
            </w:r>
          </w:p>
        </w:tc>
      </w:tr>
      <w:tr w:rsidR="0029621C" w:rsidRPr="007478DE" w14:paraId="7EEF4337" w14:textId="77777777" w:rsidTr="28A1B98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549D4869" w:rsidR="0029621C" w:rsidRPr="00CA42ED" w:rsidRDefault="0029621C" w:rsidP="0029621C">
            <w:pPr>
              <w:widowControl w:val="0"/>
              <w:tabs>
                <w:tab w:val="left" w:pos="9450"/>
              </w:tabs>
              <w:spacing w:after="0" w:line="266" w:lineRule="auto"/>
              <w:rPr>
                <w:rFonts w:ascii="Franklin Gothic Book" w:hAnsi="Franklin Gothic Book"/>
                <w:i/>
                <w:color w:val="CA1F41" w:themeColor="accent1"/>
                <w:lang w:val="es-ES"/>
              </w:rPr>
            </w:pPr>
            <w:r>
              <w:rPr>
                <w:rFonts w:ascii="Franklin Gothic Book" w:hAnsi="Franklin Gothic Book"/>
                <w:b/>
                <w:bCs/>
                <w:color w:val="000000"/>
                <w:lang w:val="es"/>
              </w:rPr>
              <w:lastRenderedPageBreak/>
              <w:t xml:space="preserve">Unidad de medida: </w:t>
            </w:r>
            <w:r>
              <w:rPr>
                <w:rFonts w:ascii="Franklin Gothic Book" w:hAnsi="Franklin Gothic Book"/>
                <w:color w:val="000000"/>
                <w:lang w:val="es"/>
              </w:rPr>
              <w:t>Cantidad de actores individuales</w:t>
            </w:r>
            <w:r>
              <w:rPr>
                <w:i/>
                <w:iCs/>
                <w:lang w:val="es"/>
              </w:rPr>
              <w:t xml:space="preserve"> </w:t>
            </w:r>
            <w:r>
              <w:rPr>
                <w:rFonts w:ascii="Franklin Gothic Book" w:hAnsi="Franklin Gothic Book"/>
                <w:i/>
                <w:iCs/>
                <w:color w:val="CA1F41" w:themeColor="accent1"/>
                <w:lang w:val="es"/>
              </w:rPr>
              <w:t>[Verifique que el indicador del proyecto tenga la misma unidad de medida]</w:t>
            </w:r>
          </w:p>
        </w:tc>
      </w:tr>
      <w:tr w:rsidR="0029621C" w:rsidRPr="007478DE" w14:paraId="6537F379" w14:textId="77777777" w:rsidTr="28A1B98D">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78E7F7C0" w:rsidR="0029621C" w:rsidRPr="00CA42ED" w:rsidRDefault="0029621C" w:rsidP="0029621C">
            <w:pPr>
              <w:widowControl w:val="0"/>
              <w:tabs>
                <w:tab w:val="left" w:pos="9450"/>
              </w:tabs>
              <w:spacing w:after="0" w:line="266" w:lineRule="auto"/>
              <w:rPr>
                <w:rFonts w:ascii="Franklin Gothic Book" w:hAnsi="Franklin Gothic Book"/>
                <w:color w:val="000000"/>
                <w:lang w:val="es-ES"/>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29621C" w:rsidRPr="007478DE" w14:paraId="265357A2" w14:textId="77777777" w:rsidTr="28A1B98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22E47BBD" w:rsidR="0029621C" w:rsidRPr="00CA42ED" w:rsidRDefault="0029621C" w:rsidP="0029621C">
            <w:pPr>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29621C" w:rsidRPr="007478DE" w14:paraId="7E065566"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6A5E4262" w:rsidR="0029621C" w:rsidRPr="00CA42ED" w:rsidRDefault="0029621C" w:rsidP="0029621C">
            <w:pPr>
              <w:widowControl w:val="0"/>
              <w:tabs>
                <w:tab w:val="left" w:pos="9450"/>
              </w:tabs>
              <w:spacing w:after="0" w:line="268"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PLAN PARA RECOPILACIÓN DE DATOS</w:t>
            </w:r>
          </w:p>
        </w:tc>
      </w:tr>
      <w:tr w:rsidR="0029621C" w:rsidRPr="007478DE" w14:paraId="2F5AB56A"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663874CD" w:rsidR="0029621C" w:rsidRPr="00CA42ED" w:rsidRDefault="0029621C" w:rsidP="0029621C">
            <w:pPr>
              <w:widowControl w:val="0"/>
              <w:tabs>
                <w:tab w:val="left" w:pos="9450"/>
              </w:tabs>
              <w:spacing w:after="0" w:line="268"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29621C" w:rsidRPr="007478DE" w14:paraId="6903B43C" w14:textId="77777777" w:rsidTr="28A1B98D">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7338AB8D" w:rsidR="0029621C" w:rsidRPr="00CA42ED" w:rsidRDefault="0029621C" w:rsidP="0029621C">
            <w:pPr>
              <w:widowControl w:val="0"/>
              <w:tabs>
                <w:tab w:val="left" w:pos="9450"/>
              </w:tabs>
              <w:spacing w:after="0"/>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29621C" w:rsidRPr="007478DE" w14:paraId="2FAA6145"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6946316E" w:rsidR="0029621C" w:rsidRPr="00CA42ED" w:rsidRDefault="0029621C" w:rsidP="0029621C">
            <w:pPr>
              <w:widowControl w:val="0"/>
              <w:tabs>
                <w:tab w:val="left" w:pos="9450"/>
              </w:tabs>
              <w:spacing w:after="0" w:line="268" w:lineRule="auto"/>
              <w:rPr>
                <w:rFonts w:ascii="Franklin Gothic Book" w:hAnsi="Franklin Gothic Book"/>
                <w:color w:val="000000"/>
                <w:lang w:val="es-ES"/>
              </w:rPr>
            </w:pPr>
            <w:r>
              <w:rPr>
                <w:rFonts w:ascii="Franklin Gothic Book" w:hAnsi="Franklin Gothic Book"/>
                <w:b/>
                <w:bCs/>
                <w:color w:val="000000" w:themeColor="text2"/>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29621C" w:rsidRPr="007478DE" w14:paraId="78B4D3BC"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78C06E61" w:rsidR="0029621C" w:rsidRPr="00CA42ED" w:rsidRDefault="0029621C" w:rsidP="0029621C">
            <w:pPr>
              <w:widowControl w:val="0"/>
              <w:tabs>
                <w:tab w:val="left" w:pos="9450"/>
              </w:tabs>
              <w:spacing w:after="0" w:line="264" w:lineRule="auto"/>
              <w:rPr>
                <w:rFonts w:ascii="Franklin Gothic Book" w:hAnsi="Franklin Gothic Book"/>
                <w:b/>
                <w:color w:val="000000"/>
                <w:lang w:val="es-ES"/>
              </w:rPr>
            </w:pPr>
            <w:r>
              <w:rPr>
                <w:rFonts w:ascii="Franklin Gothic Book" w:hAnsi="Franklin Gothic Book"/>
                <w:b/>
                <w:bCs/>
                <w:color w:val="000000"/>
                <w:lang w:val="es"/>
              </w:rPr>
              <w:t xml:space="preserve">Persona(s) responsable(s) en la organización adjudicataria: </w:t>
            </w:r>
            <w:r>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00FC339B">
              <w:rPr>
                <w:rFonts w:ascii="Franklin Gothic Book" w:hAnsi="Franklin Gothic Book"/>
                <w:i/>
                <w:iCs/>
                <w:color w:val="CA1F41" w:themeColor="accent1"/>
                <w:lang w:val="es"/>
              </w:rPr>
              <w:t>MEA</w:t>
            </w:r>
            <w:r>
              <w:rPr>
                <w:rFonts w:ascii="Franklin Gothic Book" w:hAnsi="Franklin Gothic Book"/>
                <w:i/>
                <w:iCs/>
                <w:color w:val="CA1F41" w:themeColor="accent1"/>
                <w:lang w:val="es"/>
              </w:rPr>
              <w:t xml:space="preserve">, gerente de </w:t>
            </w:r>
            <w:r w:rsidR="00FC339B">
              <w:rPr>
                <w:rFonts w:ascii="Franklin Gothic Book" w:hAnsi="Franklin Gothic Book"/>
                <w:i/>
                <w:iCs/>
                <w:color w:val="CA1F41" w:themeColor="accent1"/>
                <w:lang w:val="es"/>
              </w:rPr>
              <w:t>MEA</w:t>
            </w:r>
            <w:r>
              <w:rPr>
                <w:rFonts w:ascii="Franklin Gothic Book" w:hAnsi="Franklin Gothic Book"/>
                <w:i/>
                <w:iCs/>
                <w:color w:val="CA1F41" w:themeColor="accent1"/>
                <w:lang w:val="es"/>
              </w:rPr>
              <w:t>, etc.</w:t>
            </w:r>
          </w:p>
        </w:tc>
      </w:tr>
      <w:tr w:rsidR="0029621C" w14:paraId="482709A1"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0B881A96" w:rsidR="0029621C" w:rsidRPr="00E3638E" w:rsidRDefault="0029621C" w:rsidP="0029621C">
            <w:pPr>
              <w:widowControl w:val="0"/>
              <w:tabs>
                <w:tab w:val="left" w:pos="9450"/>
              </w:tabs>
              <w:spacing w:after="0" w:line="268"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METAS Y PERÍODO INICIAL</w:t>
            </w:r>
          </w:p>
        </w:tc>
      </w:tr>
      <w:tr w:rsidR="0029621C" w:rsidRPr="007478DE" w14:paraId="241A6940" w14:textId="77777777" w:rsidTr="28A1B98D">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09577973" w:rsidR="0029621C" w:rsidRPr="00CA42ED" w:rsidRDefault="0029621C" w:rsidP="0029621C">
            <w:pPr>
              <w:widowControl w:val="0"/>
              <w:tabs>
                <w:tab w:val="left" w:pos="9450"/>
              </w:tabs>
              <w:spacing w:after="0" w:line="268" w:lineRule="auto"/>
              <w:rPr>
                <w:rFonts w:ascii="Franklin Gothic Book" w:hAnsi="Franklin Gothic Book"/>
                <w:i/>
                <w:iCs/>
                <w:color w:val="000000"/>
                <w:lang w:val="es-ES"/>
              </w:rPr>
            </w:pPr>
            <w:r>
              <w:rPr>
                <w:rFonts w:ascii="Franklin Gothic Book" w:hAnsi="Franklin Gothic Book"/>
                <w:b/>
                <w:bCs/>
                <w:color w:val="000000"/>
                <w:lang w:val="es"/>
              </w:rPr>
              <w:t xml:space="preserve">Período </w:t>
            </w:r>
            <w:r w:rsidR="008D49B6">
              <w:rPr>
                <w:rFonts w:ascii="Franklin Gothic Book" w:hAnsi="Franklin Gothic Book"/>
                <w:b/>
                <w:bCs/>
                <w:color w:val="000000"/>
                <w:lang w:val="es"/>
              </w:rPr>
              <w:t>de línea de base</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29621C" w:rsidRPr="007478DE" w14:paraId="72A9CB48"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3806FA7C" w:rsidR="0029621C" w:rsidRPr="00CA42ED" w:rsidRDefault="0029621C" w:rsidP="0029621C">
            <w:pPr>
              <w:widowControl w:val="0"/>
              <w:tabs>
                <w:tab w:val="left" w:pos="9450"/>
              </w:tabs>
              <w:spacing w:after="0" w:line="268" w:lineRule="auto"/>
              <w:rPr>
                <w:rFonts w:ascii="Franklin Gothic Book" w:hAnsi="Franklin Gothic Book"/>
                <w:bCs/>
                <w:i/>
                <w:iCs/>
                <w:color w:val="000000"/>
                <w:lang w:val="es-ES"/>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29621C" w:rsidRPr="007478DE" w14:paraId="4DA33184"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4AD48C4F" w:rsidR="0029621C" w:rsidRPr="00CA42ED" w:rsidRDefault="0029621C" w:rsidP="0029621C">
            <w:pPr>
              <w:widowControl w:val="0"/>
              <w:tabs>
                <w:tab w:val="left" w:pos="9450"/>
              </w:tabs>
              <w:spacing w:after="0" w:line="268"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CUESTIONES DE CALIDAD DE LOS DATOS</w:t>
            </w:r>
          </w:p>
        </w:tc>
      </w:tr>
      <w:tr w:rsidR="0029621C" w:rsidRPr="007478DE" w14:paraId="4ED820CB" w14:textId="77777777" w:rsidTr="28A1B98D">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3C7A6730" w:rsidR="0029621C" w:rsidRPr="00CA42ED" w:rsidRDefault="0029621C" w:rsidP="0029621C">
            <w:pPr>
              <w:widowControl w:val="0"/>
              <w:tabs>
                <w:tab w:val="left" w:pos="9450"/>
              </w:tabs>
              <w:spacing w:before="1" w:after="0" w:line="276" w:lineRule="auto"/>
              <w:ind w:right="1361"/>
              <w:rPr>
                <w:rFonts w:ascii="Franklin Gothic Book" w:hAnsi="Franklin Gothic Book"/>
                <w:color w:val="000000"/>
                <w:lang w:val="es-ES"/>
              </w:rPr>
            </w:pPr>
            <w:r>
              <w:rPr>
                <w:rFonts w:ascii="Franklin Gothic Book" w:hAnsi="Franklin Gothic Book"/>
                <w:b/>
                <w:bCs/>
                <w:color w:val="000000"/>
                <w:lang w:val="es"/>
              </w:rPr>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29621C" w:rsidRPr="007478DE" w14:paraId="40671AC3" w14:textId="77777777" w:rsidTr="28A1B98D">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1AF13874" w:rsidR="0029621C" w:rsidRPr="00CA42ED" w:rsidRDefault="0029621C" w:rsidP="0029621C">
            <w:pPr>
              <w:widowControl w:val="0"/>
              <w:tabs>
                <w:tab w:val="left" w:pos="9450"/>
              </w:tabs>
              <w:spacing w:after="0" w:line="268" w:lineRule="auto"/>
              <w:ind w:right="-2701"/>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29621C" w:rsidRPr="007478DE" w14:paraId="4FA23D77"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760368FE" w:rsidR="0029621C" w:rsidRPr="00CA42ED" w:rsidRDefault="0029621C" w:rsidP="0029621C">
            <w:pPr>
              <w:widowControl w:val="0"/>
              <w:tabs>
                <w:tab w:val="left" w:pos="9450"/>
              </w:tabs>
              <w:spacing w:after="0" w:line="268"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29621C" w14:paraId="54D62DFC"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54D9D991" w:rsidR="0029621C" w:rsidRPr="00E3638E" w:rsidRDefault="0029621C" w:rsidP="0029621C">
            <w:pPr>
              <w:widowControl w:val="0"/>
              <w:tabs>
                <w:tab w:val="left" w:pos="9450"/>
              </w:tabs>
              <w:spacing w:after="0" w:line="268"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29621C" w:rsidRPr="007478DE" w14:paraId="4F2BFA41"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7638E3FB" w:rsidR="0029621C" w:rsidRPr="00CA42ED" w:rsidRDefault="0029621C" w:rsidP="0029621C">
            <w:pPr>
              <w:widowControl w:val="0"/>
              <w:tabs>
                <w:tab w:val="left" w:pos="9450"/>
              </w:tabs>
              <w:spacing w:after="0" w:line="266"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29621C" w:rsidRPr="007478DE" w14:paraId="76E9F560"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7BDAEE24" w:rsidR="0029621C" w:rsidRPr="00CA42ED" w:rsidRDefault="0029621C" w:rsidP="0029621C">
            <w:pPr>
              <w:widowControl w:val="0"/>
              <w:tabs>
                <w:tab w:val="left" w:pos="9450"/>
              </w:tabs>
              <w:spacing w:after="0" w:line="268"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r>
              <w:rPr>
                <w:rFonts w:ascii="Franklin Gothic Book" w:hAnsi="Franklin Gothic Book"/>
                <w:b/>
                <w:bCs/>
                <w:i/>
                <w:iCs/>
                <w:color w:val="000000"/>
                <w:lang w:val="es"/>
              </w:rPr>
              <w:t xml:space="preserve">: </w:t>
            </w:r>
            <w:r>
              <w:rPr>
                <w:rFonts w:ascii="Franklin Gothic Book" w:hAnsi="Franklin Gothic Book"/>
                <w:i/>
                <w:iCs/>
                <w:color w:val="CA1F41" w:themeColor="accent1"/>
                <w:lang w:val="es"/>
              </w:rPr>
              <w:t>¿Qué otros problemas o consideraciones relacionados con el indicador deben tenerse en cuenta?</w:t>
            </w:r>
          </w:p>
        </w:tc>
      </w:tr>
      <w:tr w:rsidR="0029621C" w:rsidRPr="007478DE" w14:paraId="64B7C27F" w14:textId="77777777" w:rsidTr="28A1B98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77D7097A" w:rsidR="0029621C" w:rsidRPr="00CA42ED" w:rsidRDefault="0029621C" w:rsidP="09441A83">
            <w:pPr>
              <w:widowControl w:val="0"/>
              <w:tabs>
                <w:tab w:val="left" w:pos="9450"/>
              </w:tabs>
              <w:spacing w:after="0" w:line="264" w:lineRule="auto"/>
              <w:ind w:right="-2611"/>
              <w:rPr>
                <w:rFonts w:ascii="Franklin Gothic Book" w:eastAsia="Franklin Gothic Book" w:hAnsi="Franklin Gothic Book" w:cs="Times New Roman"/>
                <w:i/>
                <w:iCs/>
                <w:color w:val="FFFFFF" w:themeColor="background1"/>
                <w:lang w:val="es-ES"/>
              </w:rPr>
            </w:pPr>
            <w:r>
              <w:rPr>
                <w:rFonts w:ascii="Franklin Gothic Book" w:eastAsia="Franklin Gothic Book" w:hAnsi="Franklin Gothic Book" w:cs="Times New Roman"/>
                <w:b/>
                <w:bCs/>
                <w:color w:val="FFFFFF" w:themeColor="background2"/>
                <w:lang w:val="es"/>
              </w:rPr>
              <w:t>FECHA DE LA ÚLTIMA MODIFICACIÓN DE ESTA HOJA:</w:t>
            </w:r>
          </w:p>
        </w:tc>
      </w:tr>
      <w:bookmarkEnd w:id="4"/>
    </w:tbl>
    <w:p w14:paraId="5BBBCBF6" w14:textId="77777777" w:rsidR="00C42301" w:rsidRPr="00CA42ED" w:rsidRDefault="00C42301">
      <w:pPr>
        <w:rPr>
          <w:lang w:val="es-ES"/>
        </w:rPr>
      </w:pPr>
    </w:p>
    <w:sectPr w:rsidR="00C42301" w:rsidRPr="00CA4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52FAB" w14:textId="77777777" w:rsidR="00F748C4" w:rsidRDefault="00F748C4" w:rsidP="006F4319">
      <w:pPr>
        <w:spacing w:after="0" w:line="240" w:lineRule="auto"/>
      </w:pPr>
      <w:r>
        <w:separator/>
      </w:r>
    </w:p>
  </w:endnote>
  <w:endnote w:type="continuationSeparator" w:id="0">
    <w:p w14:paraId="61D3D6AD" w14:textId="77777777" w:rsidR="00F748C4" w:rsidRDefault="00F748C4" w:rsidP="006F4319">
      <w:pPr>
        <w:spacing w:after="0" w:line="240" w:lineRule="auto"/>
      </w:pPr>
      <w:r>
        <w:continuationSeparator/>
      </w:r>
    </w:p>
  </w:endnote>
  <w:endnote w:type="continuationNotice" w:id="1">
    <w:p w14:paraId="1BB7FA29" w14:textId="77777777" w:rsidR="00F748C4" w:rsidRDefault="00F74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CA370" w14:textId="77777777" w:rsidR="00F748C4" w:rsidRDefault="00F748C4" w:rsidP="006F4319">
      <w:pPr>
        <w:spacing w:after="0" w:line="240" w:lineRule="auto"/>
      </w:pPr>
      <w:r>
        <w:separator/>
      </w:r>
    </w:p>
  </w:footnote>
  <w:footnote w:type="continuationSeparator" w:id="0">
    <w:p w14:paraId="77AE1791" w14:textId="77777777" w:rsidR="00F748C4" w:rsidRDefault="00F748C4" w:rsidP="006F4319">
      <w:pPr>
        <w:spacing w:after="0" w:line="240" w:lineRule="auto"/>
      </w:pPr>
      <w:r>
        <w:continuationSeparator/>
      </w:r>
    </w:p>
  </w:footnote>
  <w:footnote w:type="continuationNotice" w:id="1">
    <w:p w14:paraId="46E500F8" w14:textId="77777777" w:rsidR="00F748C4" w:rsidRDefault="00F748C4">
      <w:pPr>
        <w:spacing w:after="0" w:line="240" w:lineRule="auto"/>
      </w:pPr>
    </w:p>
  </w:footnote>
  <w:footnote w:id="2">
    <w:p w14:paraId="317CCBA7" w14:textId="1D035AA1" w:rsidR="006F4319" w:rsidRPr="00CA42ED"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0E661F">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0E661F">
        <w:rPr>
          <w:rFonts w:ascii="Franklin Gothic Book" w:hAnsi="Franklin Gothic Book"/>
          <w:sz w:val="18"/>
          <w:szCs w:val="18"/>
          <w:lang w:val="es"/>
        </w:rPr>
        <w:t>M</w:t>
      </w:r>
      <w:r>
        <w:rPr>
          <w:rFonts w:ascii="Franklin Gothic Book" w:hAnsi="Franklin Gothic Book"/>
          <w:sz w:val="18"/>
          <w:szCs w:val="18"/>
          <w:lang w:val="es"/>
        </w:rPr>
        <w:t>EA (disponible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275AF"/>
    <w:rsid w:val="00052041"/>
    <w:rsid w:val="00071DF2"/>
    <w:rsid w:val="00081A17"/>
    <w:rsid w:val="00085F7B"/>
    <w:rsid w:val="000A0B0A"/>
    <w:rsid w:val="000E661F"/>
    <w:rsid w:val="00124430"/>
    <w:rsid w:val="001809EE"/>
    <w:rsid w:val="002021F4"/>
    <w:rsid w:val="00257934"/>
    <w:rsid w:val="00286BA9"/>
    <w:rsid w:val="00290F0C"/>
    <w:rsid w:val="0029621C"/>
    <w:rsid w:val="002A2099"/>
    <w:rsid w:val="002B6E00"/>
    <w:rsid w:val="002B7A72"/>
    <w:rsid w:val="002C543C"/>
    <w:rsid w:val="00313EB6"/>
    <w:rsid w:val="003214F7"/>
    <w:rsid w:val="00335713"/>
    <w:rsid w:val="00351204"/>
    <w:rsid w:val="00353150"/>
    <w:rsid w:val="00376E27"/>
    <w:rsid w:val="00394875"/>
    <w:rsid w:val="00411021"/>
    <w:rsid w:val="0044266B"/>
    <w:rsid w:val="00487F9B"/>
    <w:rsid w:val="004D0AFA"/>
    <w:rsid w:val="004F0DD8"/>
    <w:rsid w:val="00501EFD"/>
    <w:rsid w:val="00535A40"/>
    <w:rsid w:val="00551BBB"/>
    <w:rsid w:val="00594FD4"/>
    <w:rsid w:val="005E2940"/>
    <w:rsid w:val="006E0BBF"/>
    <w:rsid w:val="006F4319"/>
    <w:rsid w:val="00733606"/>
    <w:rsid w:val="007478DE"/>
    <w:rsid w:val="007662D2"/>
    <w:rsid w:val="00796454"/>
    <w:rsid w:val="007F4137"/>
    <w:rsid w:val="00870B5E"/>
    <w:rsid w:val="008814B1"/>
    <w:rsid w:val="0088723F"/>
    <w:rsid w:val="008D49B6"/>
    <w:rsid w:val="008F17DC"/>
    <w:rsid w:val="0090301E"/>
    <w:rsid w:val="0091279A"/>
    <w:rsid w:val="00915069"/>
    <w:rsid w:val="00920FF1"/>
    <w:rsid w:val="00954F09"/>
    <w:rsid w:val="00977682"/>
    <w:rsid w:val="009B3A6A"/>
    <w:rsid w:val="009E6E4E"/>
    <w:rsid w:val="009F5D1B"/>
    <w:rsid w:val="00A24B94"/>
    <w:rsid w:val="00A51D37"/>
    <w:rsid w:val="00A62EF4"/>
    <w:rsid w:val="00A678E9"/>
    <w:rsid w:val="00A7217D"/>
    <w:rsid w:val="00A8387E"/>
    <w:rsid w:val="00AA6378"/>
    <w:rsid w:val="00B57E31"/>
    <w:rsid w:val="00B85A06"/>
    <w:rsid w:val="00BA2F98"/>
    <w:rsid w:val="00C25C82"/>
    <w:rsid w:val="00C4211E"/>
    <w:rsid w:val="00C42301"/>
    <w:rsid w:val="00C45A00"/>
    <w:rsid w:val="00C756FD"/>
    <w:rsid w:val="00C93173"/>
    <w:rsid w:val="00CA42ED"/>
    <w:rsid w:val="00CA665B"/>
    <w:rsid w:val="00D0064B"/>
    <w:rsid w:val="00D101CD"/>
    <w:rsid w:val="00D24076"/>
    <w:rsid w:val="00D2770A"/>
    <w:rsid w:val="00D5066C"/>
    <w:rsid w:val="00DB68B2"/>
    <w:rsid w:val="00DB7CF4"/>
    <w:rsid w:val="00DD5F8D"/>
    <w:rsid w:val="00DE0CFA"/>
    <w:rsid w:val="00E06684"/>
    <w:rsid w:val="00E3638E"/>
    <w:rsid w:val="00E4589F"/>
    <w:rsid w:val="00E701D8"/>
    <w:rsid w:val="00E72A19"/>
    <w:rsid w:val="00F22C84"/>
    <w:rsid w:val="00F60E0C"/>
    <w:rsid w:val="00F748C4"/>
    <w:rsid w:val="00FC339B"/>
    <w:rsid w:val="00FD31FD"/>
    <w:rsid w:val="02AA636F"/>
    <w:rsid w:val="07E24F19"/>
    <w:rsid w:val="09441A83"/>
    <w:rsid w:val="17DA8878"/>
    <w:rsid w:val="1FEF2404"/>
    <w:rsid w:val="28A1B98D"/>
    <w:rsid w:val="359A95A7"/>
    <w:rsid w:val="37D084B4"/>
    <w:rsid w:val="3C51D90C"/>
    <w:rsid w:val="3CE556DC"/>
    <w:rsid w:val="42841325"/>
    <w:rsid w:val="5634F109"/>
    <w:rsid w:val="57BB6BBB"/>
    <w:rsid w:val="57F4BF16"/>
    <w:rsid w:val="70C38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6E27"/>
    <w:pPr>
      <w:spacing w:after="0" w:line="240" w:lineRule="auto"/>
    </w:pPr>
    <w:rPr>
      <w:kern w:val="0"/>
      <w:sz w:val="22"/>
      <w:szCs w:val="22"/>
    </w:rPr>
  </w:style>
  <w:style w:type="paragraph" w:styleId="Header">
    <w:name w:val="header"/>
    <w:basedOn w:val="Normal"/>
    <w:link w:val="HeaderChar"/>
    <w:uiPriority w:val="99"/>
    <w:semiHidden/>
    <w:unhideWhenUsed/>
    <w:rsid w:val="00376E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E27"/>
    <w:rPr>
      <w:kern w:val="0"/>
      <w:sz w:val="22"/>
      <w:szCs w:val="22"/>
    </w:rPr>
  </w:style>
  <w:style w:type="paragraph" w:styleId="Footer">
    <w:name w:val="footer"/>
    <w:basedOn w:val="Normal"/>
    <w:link w:val="FooterChar"/>
    <w:uiPriority w:val="99"/>
    <w:semiHidden/>
    <w:unhideWhenUsed/>
    <w:rsid w:val="00376E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E27"/>
    <w:rPr>
      <w:kern w:val="0"/>
      <w:sz w:val="22"/>
      <w:szCs w:val="22"/>
    </w:rPr>
  </w:style>
  <w:style w:type="paragraph" w:styleId="CommentSubject">
    <w:name w:val="annotation subject"/>
    <w:basedOn w:val="CommentText"/>
    <w:next w:val="CommentText"/>
    <w:link w:val="CommentSubjectChar"/>
    <w:uiPriority w:val="99"/>
    <w:semiHidden/>
    <w:unhideWhenUsed/>
    <w:rsid w:val="00353150"/>
    <w:rPr>
      <w:b/>
      <w:bCs/>
    </w:rPr>
  </w:style>
  <w:style w:type="character" w:customStyle="1" w:styleId="CommentSubjectChar">
    <w:name w:val="Comment Subject Char"/>
    <w:basedOn w:val="CommentTextChar"/>
    <w:link w:val="CommentSubject"/>
    <w:uiPriority w:val="99"/>
    <w:semiHidden/>
    <w:rsid w:val="00353150"/>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562325772">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c.sharepoint.com/sites/9426-OTLAMEServices/Shared%20Documents/Common%20indicator%20tool/TOsC%20Guidebook--June%202024%20Updat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BB6313-8DD2-4854-B15E-72F95A6AC555}">
  <ds:schemaRefs>
    <ds:schemaRef ds:uri="http://schemas.microsoft.com/sharepoint/v3/contenttype/forms"/>
  </ds:schemaRefs>
</ds:datastoreItem>
</file>

<file path=customXml/itemProps2.xml><?xml version="1.0" encoding="utf-8"?>
<ds:datastoreItem xmlns:ds="http://schemas.openxmlformats.org/officeDocument/2006/customXml" ds:itemID="{A9D39D91-BEF8-43E0-A03B-11EF2FF41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94A1A-DDE8-4EF2-882F-67F2D249F3BE}">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8559</CharactersWithSpaces>
  <SharedDoc>false</SharedDoc>
  <HLinks>
    <vt:vector size="48" baseType="variant">
      <vt:variant>
        <vt:i4>6029435</vt:i4>
      </vt:variant>
      <vt:variant>
        <vt:i4>12</vt:i4>
      </vt:variant>
      <vt:variant>
        <vt:i4>0</vt:i4>
      </vt:variant>
      <vt:variant>
        <vt:i4>5</vt:i4>
      </vt:variant>
      <vt:variant>
        <vt:lpwstr>https://norc.sharepoint.com/sites/9426-OTLAMEServices/Shared Documents/Common indicator tool/TOsC Guidebook--June 2024 Updates.docx</vt:lpwstr>
      </vt:variant>
      <vt:variant>
        <vt:lpwstr>_Access</vt:lpwstr>
      </vt:variant>
      <vt:variant>
        <vt:i4>3342371</vt:i4>
      </vt:variant>
      <vt:variant>
        <vt:i4>9</vt:i4>
      </vt:variant>
      <vt:variant>
        <vt:i4>0</vt:i4>
      </vt:variant>
      <vt:variant>
        <vt:i4>5</vt:i4>
      </vt:variant>
      <vt:variant>
        <vt:lpwstr>https://thesystemsthinker.com/wp-content/uploads/2016/03/Introduction-to-Systems-Thinking-IMS013Epk.pdf</vt:lpwstr>
      </vt:variant>
      <vt:variant>
        <vt:lpwstr/>
      </vt:variant>
      <vt:variant>
        <vt:i4>4718704</vt:i4>
      </vt:variant>
      <vt:variant>
        <vt:i4>6</vt:i4>
      </vt:variant>
      <vt:variant>
        <vt:i4>0</vt:i4>
      </vt:variant>
      <vt:variant>
        <vt:i4>5</vt:i4>
      </vt:variant>
      <vt:variant>
        <vt:lpwstr>https://norc.sharepoint.com/sites/9426-OTLAMEServices/Shared Documents/Common indicator tool/TOsC Guidebook--June 2024 Updates.docx</vt:lpwstr>
      </vt:variant>
      <vt:variant>
        <vt:lpwstr>_System</vt:lpwstr>
      </vt:variant>
      <vt:variant>
        <vt:i4>3997823</vt:i4>
      </vt:variant>
      <vt:variant>
        <vt:i4>3</vt:i4>
      </vt:variant>
      <vt:variant>
        <vt:i4>0</vt:i4>
      </vt:variant>
      <vt:variant>
        <vt:i4>5</vt:i4>
      </vt:variant>
      <vt:variant>
        <vt:lpwstr>https://documents.worldbank.org/en/publication/documents-reports/documentdetail/575481468740986684/the-role-of-institutions-in-development</vt:lpwstr>
      </vt:variant>
      <vt:variant>
        <vt:lpwstr/>
      </vt:variant>
      <vt:variant>
        <vt:i4>2883592</vt:i4>
      </vt:variant>
      <vt:variant>
        <vt:i4>0</vt:i4>
      </vt:variant>
      <vt:variant>
        <vt:i4>0</vt:i4>
      </vt:variant>
      <vt:variant>
        <vt:i4>5</vt:i4>
      </vt:variant>
      <vt:variant>
        <vt:lpwstr>https://norc.sharepoint.com/sites/9426-OTLAMEServices/Shared Documents/Common indicator tool/TOsC Guidebook--June 2024 Updates.docx</vt:lpwstr>
      </vt:variant>
      <vt:variant>
        <vt:lpwstr>_Institutions</vt:lpwstr>
      </vt:variant>
      <vt:variant>
        <vt:i4>4194368</vt:i4>
      </vt:variant>
      <vt:variant>
        <vt:i4>6</vt:i4>
      </vt:variant>
      <vt:variant>
        <vt:i4>0</vt:i4>
      </vt:variant>
      <vt:variant>
        <vt:i4>5</vt:i4>
      </vt:variant>
      <vt:variant>
        <vt:lpwstr>https://www.dol.gov/sites/dolgov/files/ILAB/Process-Diary-Template-CLEAN-508.docx</vt:lpwstr>
      </vt:variant>
      <vt:variant>
        <vt:lpwstr/>
      </vt:variant>
      <vt:variant>
        <vt:i4>7929894</vt:i4>
      </vt:variant>
      <vt:variant>
        <vt:i4>3</vt:i4>
      </vt:variant>
      <vt:variant>
        <vt:i4>0</vt:i4>
      </vt:variant>
      <vt:variant>
        <vt:i4>5</vt:i4>
      </vt:variant>
      <vt:variant>
        <vt:lpwstr>https://www.dol.gov/sites/dolgov/files/ILAB/Project-Logic-Model-Template-combined-page-CLEAN-508-1.docx</vt:lpwstr>
      </vt:variant>
      <vt:variant>
        <vt:lpwstr/>
      </vt:variant>
      <vt:variant>
        <vt:i4>6553725</vt:i4>
      </vt:variant>
      <vt:variant>
        <vt:i4>0</vt:i4>
      </vt:variant>
      <vt:variant>
        <vt:i4>0</vt:i4>
      </vt:variant>
      <vt:variant>
        <vt:i4>5</vt:i4>
      </vt:variant>
      <vt:variant>
        <vt:lpwstr>https://www.dol.gov/sites/dolgov/files/ILAB/Learning-for-Action-L4A-Agenda-Template-CLEAN-508.docx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PUNTOS DE INFLUENCIA / ESTRUCTURAS Y PROCESOS TRANSFORMADORES</dc:title>
  <dc:subject/>
  <dc:creator>Buró de Asuntos Laborales Internacionales (ILAB)</dc:creator>
  <cp:keywords/>
  <dc:description/>
  <cp:lastModifiedBy>Edward S. White</cp:lastModifiedBy>
  <cp:revision>7</cp:revision>
  <dcterms:created xsi:type="dcterms:W3CDTF">2024-09-09T13:26:00Z</dcterms:created>
  <dcterms:modified xsi:type="dcterms:W3CDTF">2024-09-18T19:10:00Z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