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C112B" w14:textId="68AFF9A0" w:rsidR="003D2B81" w:rsidRPr="00511CBB" w:rsidRDefault="0092040A">
      <w:pPr>
        <w:rPr>
          <w:b/>
          <w:sz w:val="30"/>
          <w:szCs w:val="30"/>
        </w:rPr>
      </w:pPr>
      <w:r>
        <w:rPr>
          <w:rFonts w:hint="eastAsia"/>
          <w:b/>
          <w:sz w:val="30"/>
          <w:szCs w:val="30"/>
        </w:rPr>
        <w:t>研究</w:t>
      </w:r>
      <w:r w:rsidR="00901623" w:rsidRPr="00511CBB">
        <w:rPr>
          <w:rFonts w:hint="eastAsia"/>
          <w:b/>
          <w:sz w:val="30"/>
          <w:szCs w:val="30"/>
        </w:rPr>
        <w:t>摘要</w:t>
      </w:r>
    </w:p>
    <w:p w14:paraId="7F6B6E57" w14:textId="77777777" w:rsidR="00901623" w:rsidRDefault="00901623"/>
    <w:p w14:paraId="577509FF" w14:textId="7B83E941" w:rsidR="00901623" w:rsidRDefault="00901623">
      <w:r>
        <w:rPr>
          <w:rFonts w:hint="eastAsia"/>
        </w:rPr>
        <w:t>本報告介紹香港外籍家庭傭工（</w:t>
      </w:r>
      <w:r>
        <w:rPr>
          <w:rFonts w:hint="eastAsia"/>
        </w:rPr>
        <w:t>MDW</w:t>
      </w:r>
      <w:r w:rsidR="001D62DF">
        <w:rPr>
          <w:rFonts w:hint="eastAsia"/>
        </w:rPr>
        <w:t>，外傭</w:t>
      </w:r>
      <w:r>
        <w:rPr>
          <w:rFonts w:hint="eastAsia"/>
        </w:rPr>
        <w:t>）</w:t>
      </w:r>
      <w:r w:rsidR="00537D61">
        <w:rPr>
          <w:rFonts w:hint="eastAsia"/>
        </w:rPr>
        <w:t>容</w:t>
      </w:r>
      <w:r w:rsidR="009E4D82">
        <w:rPr>
          <w:rFonts w:hint="eastAsia"/>
        </w:rPr>
        <w:t>易遭受</w:t>
      </w:r>
      <w:r w:rsidR="00673F63">
        <w:rPr>
          <w:rFonts w:hint="eastAsia"/>
        </w:rPr>
        <w:t>強迫勞動</w:t>
      </w:r>
      <w:r w:rsidR="009E4D82">
        <w:rPr>
          <w:rFonts w:hint="eastAsia"/>
        </w:rPr>
        <w:t>的研究，並探討</w:t>
      </w:r>
      <w:r w:rsidR="009804CE">
        <w:rPr>
          <w:rFonts w:hint="eastAsia"/>
        </w:rPr>
        <w:t>提升意識運動能否</w:t>
      </w:r>
      <w:r w:rsidR="00946CD0">
        <w:rPr>
          <w:rFonts w:hint="eastAsia"/>
        </w:rPr>
        <w:t>改變對強迫勞動的態度和行為。是次</w:t>
      </w:r>
      <w:r w:rsidR="00985EFB">
        <w:rPr>
          <w:rFonts w:hint="eastAsia"/>
        </w:rPr>
        <w:t>研究使用了一項隨機對照試驗（</w:t>
      </w:r>
      <w:r w:rsidR="00985EFB">
        <w:rPr>
          <w:rFonts w:hint="eastAsia"/>
        </w:rPr>
        <w:t>RCT</w:t>
      </w:r>
      <w:r w:rsidR="00985EFB">
        <w:rPr>
          <w:rFonts w:hint="eastAsia"/>
        </w:rPr>
        <w:t>）的數據，該試驗</w:t>
      </w:r>
      <w:r w:rsidR="00B5261A">
        <w:rPr>
          <w:rFonts w:hint="eastAsia"/>
        </w:rPr>
        <w:t>測量</w:t>
      </w:r>
      <w:r w:rsidR="009804CE">
        <w:rPr>
          <w:rFonts w:hint="eastAsia"/>
        </w:rPr>
        <w:t>提升意識運動能否</w:t>
      </w:r>
      <w:r w:rsidR="001D62DF">
        <w:rPr>
          <w:rFonts w:hint="eastAsia"/>
        </w:rPr>
        <w:t>影响</w:t>
      </w:r>
      <w:r w:rsidR="002C201A">
        <w:rPr>
          <w:rFonts w:hint="eastAsia"/>
        </w:rPr>
        <w:t>香港</w:t>
      </w:r>
      <w:r w:rsidR="00537D61">
        <w:rPr>
          <w:rFonts w:hint="eastAsia"/>
        </w:rPr>
        <w:t>兩類人群對於</w:t>
      </w:r>
      <w:r w:rsidR="002C201A">
        <w:rPr>
          <w:rFonts w:hint="eastAsia"/>
        </w:rPr>
        <w:t>強迫勞動及人口販運的認識、態度及行為（</w:t>
      </w:r>
      <w:r w:rsidR="002C201A">
        <w:rPr>
          <w:rFonts w:hint="eastAsia"/>
        </w:rPr>
        <w:t>KAP</w:t>
      </w:r>
      <w:r w:rsidR="001D62DF">
        <w:rPr>
          <w:rFonts w:hint="eastAsia"/>
        </w:rPr>
        <w:t>），包括一般市民（</w:t>
      </w:r>
      <w:r w:rsidR="001D62DF">
        <w:rPr>
          <w:rFonts w:hint="eastAsia"/>
        </w:rPr>
        <w:t>GP</w:t>
      </w:r>
      <w:r w:rsidR="001D62DF">
        <w:rPr>
          <w:rFonts w:hint="eastAsia"/>
        </w:rPr>
        <w:t>）及來自印尼、菲律賓及尼泊爾的外傭。</w:t>
      </w:r>
      <w:r w:rsidR="0031603A">
        <w:rPr>
          <w:rFonts w:hint="eastAsia"/>
        </w:rPr>
        <w:t>具體而言，是次研究</w:t>
      </w:r>
      <w:r w:rsidR="00537D61">
        <w:rPr>
          <w:rFonts w:hint="eastAsia"/>
        </w:rPr>
        <w:t>探討</w:t>
      </w:r>
      <w:r w:rsidR="009804CE">
        <w:rPr>
          <w:rFonts w:hint="eastAsia"/>
        </w:rPr>
        <w:t>能否</w:t>
      </w:r>
      <w:r w:rsidR="00FE0DBF">
        <w:rPr>
          <w:rFonts w:hint="eastAsia"/>
        </w:rPr>
        <w:t>通過提升</w:t>
      </w:r>
      <w:r w:rsidR="003D2CA3">
        <w:rPr>
          <w:rFonts w:hint="eastAsia"/>
        </w:rPr>
        <w:t>意識運動改變認識、態度及行為，從而減少強制勞動及對外傭的剝削。同時，是次研究</w:t>
      </w:r>
      <w:r w:rsidR="00537D61">
        <w:rPr>
          <w:rFonts w:hint="eastAsia"/>
        </w:rPr>
        <w:t>亦</w:t>
      </w:r>
      <w:r w:rsidR="00FE0DBF">
        <w:rPr>
          <w:rFonts w:hint="eastAsia"/>
        </w:rPr>
        <w:t>探討了</w:t>
      </w:r>
      <w:r w:rsidR="00FE0DBF">
        <w:rPr>
          <w:rFonts w:hint="eastAsia"/>
        </w:rPr>
        <w:t>提升</w:t>
      </w:r>
      <w:r w:rsidR="005D082E">
        <w:rPr>
          <w:rFonts w:hint="eastAsia"/>
        </w:rPr>
        <w:t>意識運動的效果是否因</w:t>
      </w:r>
      <w:r w:rsidR="00537D61">
        <w:rPr>
          <w:rFonts w:hint="eastAsia"/>
        </w:rPr>
        <w:t>宣傳訊息</w:t>
      </w:r>
      <w:r w:rsidR="005D082E">
        <w:rPr>
          <w:rFonts w:hint="eastAsia"/>
        </w:rPr>
        <w:t>以不同</w:t>
      </w:r>
      <w:r w:rsidR="000D0009">
        <w:rPr>
          <w:rFonts w:hint="eastAsia"/>
        </w:rPr>
        <w:t>方式呈現而有所不同，包括錄像</w:t>
      </w:r>
      <w:r w:rsidR="003D2CA3">
        <w:rPr>
          <w:rFonts w:hint="eastAsia"/>
        </w:rPr>
        <w:t>敘述</w:t>
      </w:r>
      <w:r w:rsidR="008779F0">
        <w:rPr>
          <w:rFonts w:hint="eastAsia"/>
        </w:rPr>
        <w:t>和</w:t>
      </w:r>
      <w:r w:rsidR="002A31AB">
        <w:rPr>
          <w:rFonts w:hint="eastAsia"/>
        </w:rPr>
        <w:t>以扼要形式列出重要事項的海報。本報告還利用研究人員在</w:t>
      </w:r>
      <w:r w:rsidR="002A31AB">
        <w:rPr>
          <w:rFonts w:hint="eastAsia"/>
        </w:rPr>
        <w:t>2015</w:t>
      </w:r>
      <w:r w:rsidR="002A31AB">
        <w:rPr>
          <w:rFonts w:hint="eastAsia"/>
        </w:rPr>
        <w:t>年進行的一項關於人口販運和強迫勞動</w:t>
      </w:r>
      <w:r w:rsidR="00CF7843">
        <w:rPr>
          <w:rFonts w:hint="eastAsia"/>
        </w:rPr>
        <w:t>的</w:t>
      </w:r>
      <w:r w:rsidR="009804CE">
        <w:rPr>
          <w:rFonts w:hint="eastAsia"/>
        </w:rPr>
        <w:t>脆弱處境的研究數據，將香港與</w:t>
      </w:r>
      <w:r w:rsidR="00935C14">
        <w:rPr>
          <w:rFonts w:hint="eastAsia"/>
        </w:rPr>
        <w:t>尼泊爾進行了跨國比較。</w:t>
      </w:r>
    </w:p>
    <w:p w14:paraId="400D685C" w14:textId="77777777" w:rsidR="00935C14" w:rsidRDefault="00935C14"/>
    <w:p w14:paraId="5D695A67" w14:textId="5BDAED7B" w:rsidR="00935C14" w:rsidRDefault="00935C14">
      <w:pPr>
        <w:rPr>
          <w:rFonts w:ascii="Calibri" w:hAnsi="Calibri" w:cs="Calibri"/>
        </w:rPr>
      </w:pPr>
      <w:r>
        <w:rPr>
          <w:rFonts w:hint="eastAsia"/>
        </w:rPr>
        <w:t>香港</w:t>
      </w:r>
      <w:r w:rsidR="009804CE">
        <w:rPr>
          <w:rFonts w:hint="eastAsia"/>
        </w:rPr>
        <w:t>的</w:t>
      </w:r>
      <w:r>
        <w:rPr>
          <w:rFonts w:hint="eastAsia"/>
        </w:rPr>
        <w:t>經濟依賴來自亞洲其他地區的外傭。</w:t>
      </w:r>
      <w:r>
        <w:rPr>
          <w:rFonts w:ascii="Calibri" w:hAnsi="Calibri" w:cs="Calibri" w:hint="eastAsia"/>
        </w:rPr>
        <w:t>截至</w:t>
      </w:r>
      <w:r>
        <w:rPr>
          <w:rFonts w:ascii="Calibri" w:hAnsi="Calibri" w:cs="Calibri" w:hint="eastAsia"/>
        </w:rPr>
        <w:t>2019</w:t>
      </w:r>
      <w:r>
        <w:rPr>
          <w:rFonts w:ascii="Calibri" w:hAnsi="Calibri" w:cs="Calibri" w:hint="eastAsia"/>
        </w:rPr>
        <w:t>年，</w:t>
      </w:r>
      <w:r w:rsidR="006D4276">
        <w:rPr>
          <w:rFonts w:ascii="Calibri" w:hAnsi="Calibri" w:cs="Calibri" w:hint="eastAsia"/>
        </w:rPr>
        <w:t>香港有</w:t>
      </w:r>
      <w:r w:rsidR="006D4276">
        <w:rPr>
          <w:rFonts w:ascii="Calibri" w:hAnsi="Calibri" w:cs="Calibri" w:hint="eastAsia"/>
        </w:rPr>
        <w:t>385000</w:t>
      </w:r>
      <w:r w:rsidR="009804CE">
        <w:rPr>
          <w:rFonts w:ascii="Calibri" w:hAnsi="Calibri" w:cs="Calibri" w:hint="eastAsia"/>
        </w:rPr>
        <w:t>名外傭。這些外傭</w:t>
      </w:r>
      <w:r w:rsidR="006D4276">
        <w:rPr>
          <w:rFonts w:ascii="Calibri" w:hAnsi="Calibri" w:cs="Calibri" w:hint="eastAsia"/>
        </w:rPr>
        <w:t>來自不同的亞洲國家，包括印尼、菲律賓及尼泊爾，</w:t>
      </w:r>
      <w:r w:rsidR="009804CE">
        <w:rPr>
          <w:rFonts w:ascii="Calibri" w:hAnsi="Calibri" w:cs="Calibri" w:hint="eastAsia"/>
        </w:rPr>
        <w:t>約占香港勞動力的一成。</w:t>
      </w:r>
      <w:r w:rsidR="00B22B57">
        <w:rPr>
          <w:rStyle w:val="FootnoteReference"/>
          <w:rFonts w:ascii="Calibri" w:hAnsi="Calibri" w:cs="Calibri"/>
        </w:rPr>
        <w:footnoteReference w:id="1"/>
      </w:r>
      <w:r w:rsidR="009804CE">
        <w:rPr>
          <w:rFonts w:ascii="Calibri" w:hAnsi="Calibri" w:cs="Calibri" w:hint="eastAsia"/>
        </w:rPr>
        <w:t>根據一些統計，</w:t>
      </w:r>
      <w:r w:rsidR="006D4276">
        <w:rPr>
          <w:rFonts w:ascii="Calibri" w:hAnsi="Calibri" w:cs="Calibri" w:hint="eastAsia"/>
        </w:rPr>
        <w:t>大約</w:t>
      </w:r>
      <w:r w:rsidR="006D4276">
        <w:rPr>
          <w:rFonts w:ascii="Calibri" w:hAnsi="Calibri" w:cs="Calibri" w:hint="eastAsia"/>
        </w:rPr>
        <w:t>15%</w:t>
      </w:r>
      <w:r w:rsidR="006D4276">
        <w:rPr>
          <w:rFonts w:ascii="Calibri" w:hAnsi="Calibri" w:cs="Calibri" w:hint="eastAsia"/>
        </w:rPr>
        <w:t>的</w:t>
      </w:r>
      <w:r w:rsidR="009804CE">
        <w:rPr>
          <w:rFonts w:ascii="Calibri" w:hAnsi="Calibri" w:cs="Calibri" w:hint="eastAsia"/>
        </w:rPr>
        <w:t>香港住戶僱用一名外傭，而</w:t>
      </w:r>
      <w:r w:rsidR="006D4276">
        <w:rPr>
          <w:rFonts w:ascii="Calibri" w:hAnsi="Calibri" w:cs="Calibri" w:hint="eastAsia"/>
        </w:rPr>
        <w:t>這個比例一直在增加。</w:t>
      </w:r>
      <w:r w:rsidR="00B22B57">
        <w:rPr>
          <w:rStyle w:val="FootnoteReference"/>
          <w:rFonts w:ascii="Calibri" w:hAnsi="Calibri" w:cs="Calibri"/>
        </w:rPr>
        <w:footnoteReference w:id="2"/>
      </w:r>
      <w:r w:rsidR="006D4276">
        <w:rPr>
          <w:rFonts w:ascii="Calibri" w:hAnsi="Calibri" w:cs="Calibri" w:hint="eastAsia"/>
        </w:rPr>
        <w:t>外傭通過提供</w:t>
      </w:r>
      <w:r w:rsidR="009804CE">
        <w:rPr>
          <w:rFonts w:ascii="Calibri" w:hAnsi="Calibri" w:cs="Calibri" w:hint="eastAsia"/>
        </w:rPr>
        <w:t>家務助理及長者照顧服務，</w:t>
      </w:r>
      <w:r w:rsidR="00B22B57">
        <w:rPr>
          <w:rStyle w:val="FootnoteReference"/>
          <w:rFonts w:ascii="Calibri" w:hAnsi="Calibri" w:cs="Calibri"/>
        </w:rPr>
        <w:footnoteReference w:id="3"/>
      </w:r>
      <w:r w:rsidR="00511CBB">
        <w:rPr>
          <w:rFonts w:ascii="Calibri" w:hAnsi="Calibri" w:cs="Calibri" w:hint="eastAsia"/>
        </w:rPr>
        <w:t>每年間接為香港經濟貢獻</w:t>
      </w:r>
      <w:r w:rsidR="00511CBB">
        <w:rPr>
          <w:rFonts w:ascii="Calibri" w:hAnsi="Calibri" w:cs="Calibri" w:hint="eastAsia"/>
        </w:rPr>
        <w:t>26</w:t>
      </w:r>
      <w:r w:rsidR="009804CE">
        <w:rPr>
          <w:rFonts w:ascii="Calibri" w:hAnsi="Calibri" w:cs="Calibri" w:hint="eastAsia"/>
        </w:rPr>
        <w:t>億美元。對香港人口普查數據的分析表明，外傭顯著提升了香港女性的勞動參與率。</w:t>
      </w:r>
      <w:r w:rsidR="00B22B57">
        <w:rPr>
          <w:rStyle w:val="FootnoteReference"/>
          <w:rFonts w:ascii="Calibri" w:hAnsi="Calibri" w:cs="Calibri"/>
        </w:rPr>
        <w:footnoteReference w:id="4"/>
      </w:r>
      <w:r w:rsidR="009804CE">
        <w:rPr>
          <w:rFonts w:ascii="Calibri" w:hAnsi="Calibri" w:cs="Calibri" w:hint="eastAsia"/>
        </w:rPr>
        <w:t>儘管外傭對香港如此重要，而且現時法例亦對外傭有正式保障，譬如強制性僱傭</w:t>
      </w:r>
      <w:r w:rsidR="00511CBB">
        <w:rPr>
          <w:rFonts w:ascii="Calibri" w:hAnsi="Calibri" w:cs="Calibri" w:hint="eastAsia"/>
        </w:rPr>
        <w:t>合約，但是外傭在香港仍然面臨剝削。</w:t>
      </w:r>
      <w:r w:rsidR="009804CE">
        <w:rPr>
          <w:rFonts w:ascii="Calibri" w:hAnsi="Calibri" w:cs="Calibri" w:hint="eastAsia"/>
        </w:rPr>
        <w:t>是次研究</w:t>
      </w:r>
      <w:r w:rsidR="009804CE">
        <w:rPr>
          <w:rFonts w:ascii="Calibri" w:hAnsi="Calibri" w:cs="Calibri" w:hint="eastAsia"/>
        </w:rPr>
        <w:t>通過檢驗提供意識運動的效果，揭示外傭的工作條件，並</w:t>
      </w:r>
      <w:r w:rsidR="00511CBB">
        <w:rPr>
          <w:rFonts w:ascii="Calibri" w:hAnsi="Calibri" w:cs="Calibri" w:hint="eastAsia"/>
        </w:rPr>
        <w:t>探討改善這些條件的方法。</w:t>
      </w:r>
    </w:p>
    <w:p w14:paraId="2DBDF81D" w14:textId="77777777" w:rsidR="00511CBB" w:rsidRPr="00247517" w:rsidRDefault="00511CBB">
      <w:pPr>
        <w:rPr>
          <w:rFonts w:ascii="Calibri" w:hAnsi="Calibri" w:cs="Calibri"/>
          <w:b/>
          <w:i/>
          <w:sz w:val="28"/>
          <w:szCs w:val="28"/>
        </w:rPr>
      </w:pPr>
    </w:p>
    <w:p w14:paraId="6BE42A14" w14:textId="77777777" w:rsidR="00511CBB" w:rsidRDefault="00247517">
      <w:pPr>
        <w:rPr>
          <w:rFonts w:ascii="Calibri" w:hAnsi="Calibri" w:cs="Calibri"/>
          <w:b/>
          <w:i/>
          <w:sz w:val="28"/>
          <w:szCs w:val="28"/>
        </w:rPr>
      </w:pPr>
      <w:r w:rsidRPr="00247517">
        <w:rPr>
          <w:rFonts w:ascii="Calibri" w:hAnsi="Calibri" w:cs="Calibri" w:hint="eastAsia"/>
          <w:b/>
          <w:i/>
          <w:sz w:val="28"/>
          <w:szCs w:val="28"/>
        </w:rPr>
        <w:t>一般市民及外傭的基本認知、態度及行為</w:t>
      </w:r>
    </w:p>
    <w:p w14:paraId="2B2F2E4A" w14:textId="7AA8CF47" w:rsidR="00247517" w:rsidRDefault="00F664D2">
      <w:pPr>
        <w:rPr>
          <w:rFonts w:ascii="Calibri" w:hAnsi="Calibri" w:cs="Calibri"/>
        </w:rPr>
      </w:pPr>
      <w:r>
        <w:rPr>
          <w:rFonts w:ascii="Calibri" w:hAnsi="Calibri" w:cs="Calibri" w:hint="eastAsia"/>
        </w:rPr>
        <w:t>我們首先對未有接受實驗干預的一般市民及外傭</w:t>
      </w:r>
      <w:r w:rsidR="00651581">
        <w:rPr>
          <w:rFonts w:ascii="Calibri" w:hAnsi="Calibri" w:cs="Calibri" w:hint="eastAsia"/>
        </w:rPr>
        <w:t>進行評估，分析</w:t>
      </w:r>
      <w:r>
        <w:rPr>
          <w:rFonts w:ascii="Calibri" w:hAnsi="Calibri" w:cs="Calibri" w:hint="eastAsia"/>
        </w:rPr>
        <w:t>他們認知、態度及行為的基本水平。</w:t>
      </w:r>
      <w:r w:rsidR="00651581">
        <w:rPr>
          <w:rFonts w:ascii="Calibri" w:hAnsi="Calibri" w:cs="Calibri" w:hint="eastAsia"/>
        </w:rPr>
        <w:t>對於一般市民的數據，我們區分了僱用及未僱用外傭的市民。我們</w:t>
      </w:r>
      <w:r w:rsidR="009804CE">
        <w:rPr>
          <w:rFonts w:ascii="Calibri" w:hAnsi="Calibri" w:cs="Calibri" w:hint="eastAsia"/>
        </w:rPr>
        <w:t>根據如下考慮做出如此區分：外傭僱主透過僱傭關係對外傭有更多經驗和知識</w:t>
      </w:r>
      <w:r w:rsidR="00651581">
        <w:rPr>
          <w:rFonts w:ascii="Calibri" w:hAnsi="Calibri" w:cs="Calibri" w:hint="eastAsia"/>
        </w:rPr>
        <w:t>，故此對外傭的認知、態度及行為可能有所不同。</w:t>
      </w:r>
      <w:r w:rsidR="009804CE">
        <w:rPr>
          <w:rFonts w:ascii="Calibri" w:hAnsi="Calibri" w:cs="Calibri" w:hint="eastAsia"/>
        </w:rPr>
        <w:t>僱主態度尤其重要，因為他們的行為最直接影響到外傭的福祉。儘管如此</w:t>
      </w:r>
      <w:r w:rsidR="00651581">
        <w:rPr>
          <w:rFonts w:ascii="Calibri" w:hAnsi="Calibri" w:cs="Calibri" w:hint="eastAsia"/>
        </w:rPr>
        <w:t>，評估非</w:t>
      </w:r>
      <w:r w:rsidR="009804CE">
        <w:rPr>
          <w:rFonts w:ascii="Calibri" w:hAnsi="Calibri" w:cs="Calibri" w:hint="eastAsia"/>
        </w:rPr>
        <w:t>僱主的認知、態度及行為亦相當重要，因為他們在日後社區生活或者僱用</w:t>
      </w:r>
      <w:r w:rsidR="00651581">
        <w:rPr>
          <w:rFonts w:ascii="Calibri" w:hAnsi="Calibri" w:cs="Calibri" w:hint="eastAsia"/>
        </w:rPr>
        <w:t>外傭過程中目睹虐待行為的時候，可以提供重要幫助。</w:t>
      </w:r>
    </w:p>
    <w:p w14:paraId="4C0F8B73" w14:textId="77777777" w:rsidR="00472784" w:rsidRDefault="00472784">
      <w:pPr>
        <w:rPr>
          <w:rFonts w:ascii="Calibri" w:hAnsi="Calibri" w:cs="Calibri"/>
        </w:rPr>
      </w:pPr>
    </w:p>
    <w:p w14:paraId="0B6587F5" w14:textId="03389065" w:rsidR="00472784" w:rsidRDefault="00E712AD">
      <w:pPr>
        <w:rPr>
          <w:rFonts w:ascii="Calibri" w:hAnsi="Calibri" w:cs="Calibri" w:hint="eastAsia"/>
        </w:rPr>
      </w:pPr>
      <w:r>
        <w:rPr>
          <w:rFonts w:ascii="Calibri" w:hAnsi="Calibri" w:cs="Calibri" w:hint="eastAsia"/>
        </w:rPr>
        <w:t>正如預期，是次研究發現，外傭僱主對於外傭權益</w:t>
      </w:r>
      <w:r w:rsidR="00472784">
        <w:rPr>
          <w:rFonts w:ascii="Calibri" w:hAnsi="Calibri" w:cs="Calibri" w:hint="eastAsia"/>
        </w:rPr>
        <w:t>及工作條件的認知比非僱主更深刻。就態度而言，總體上，僱主及非僱主都不認為外傭被剝削在香港是一個大問題。</w:t>
      </w:r>
      <w:r w:rsidR="00472784">
        <w:rPr>
          <w:rFonts w:ascii="Calibri" w:hAnsi="Calibri" w:cs="Calibri" w:hint="eastAsia"/>
        </w:rPr>
        <w:t xml:space="preserve"> </w:t>
      </w:r>
      <w:r>
        <w:rPr>
          <w:rFonts w:ascii="Calibri" w:hAnsi="Calibri" w:cs="Calibri" w:hint="eastAsia"/>
        </w:rPr>
        <w:t>但就我們的研究顯示，超過三分之一的外傭表明</w:t>
      </w:r>
      <w:r w:rsidR="00172622">
        <w:rPr>
          <w:rFonts w:ascii="Calibri" w:hAnsi="Calibri" w:cs="Calibri" w:hint="eastAsia"/>
        </w:rPr>
        <w:t>曾經遭遇</w:t>
      </w:r>
      <w:r w:rsidR="00C3636E">
        <w:rPr>
          <w:rFonts w:ascii="Calibri" w:hAnsi="Calibri" w:cs="Calibri" w:hint="eastAsia"/>
        </w:rPr>
        <w:t>強迫僱用、剝削性的工作條件及</w:t>
      </w:r>
      <w:r w:rsidR="00C3636E">
        <w:rPr>
          <w:rFonts w:ascii="Calibri" w:hAnsi="Calibri" w:cs="Calibri" w:hint="eastAsia"/>
        </w:rPr>
        <w:t>/</w:t>
      </w:r>
      <w:r w:rsidR="00C3636E">
        <w:rPr>
          <w:rFonts w:ascii="Calibri" w:hAnsi="Calibri" w:cs="Calibri" w:hint="eastAsia"/>
        </w:rPr>
        <w:t>或</w:t>
      </w:r>
      <w:r>
        <w:rPr>
          <w:rFonts w:ascii="Calibri" w:hAnsi="Calibri" w:cs="Calibri" w:hint="eastAsia"/>
        </w:rPr>
        <w:t>嚴格的離職限制</w:t>
      </w:r>
      <w:r w:rsidR="009804CE">
        <w:rPr>
          <w:rFonts w:ascii="Calibri" w:hAnsi="Calibri" w:cs="Calibri" w:hint="eastAsia"/>
        </w:rPr>
        <w:t>。故此</w:t>
      </w:r>
      <w:r>
        <w:rPr>
          <w:rFonts w:ascii="Calibri" w:hAnsi="Calibri" w:cs="Calibri" w:hint="eastAsia"/>
        </w:rPr>
        <w:t>，對</w:t>
      </w:r>
      <w:r w:rsidR="00FC3183">
        <w:rPr>
          <w:rFonts w:ascii="Calibri" w:hAnsi="Calibri" w:cs="Calibri" w:hint="eastAsia"/>
        </w:rPr>
        <w:t>外傭權益及工作條件問題嚴重性的低估</w:t>
      </w:r>
      <w:r w:rsidR="009804CE">
        <w:rPr>
          <w:rFonts w:ascii="Calibri" w:hAnsi="Calibri" w:cs="Calibri" w:hint="eastAsia"/>
        </w:rPr>
        <w:t>正正顯示提升</w:t>
      </w:r>
      <w:r w:rsidR="00733C24">
        <w:rPr>
          <w:rFonts w:ascii="Calibri" w:hAnsi="Calibri" w:cs="Calibri" w:hint="eastAsia"/>
        </w:rPr>
        <w:t>公眾對剝削勞工問題的認知有重要意義。相比之下，僱主及非僱主都對遭遇勞工剝削的外傭表示相對較高的同情，對虐待外傭的行為容忍度較低。</w:t>
      </w:r>
      <w:r w:rsidR="009804CE">
        <w:rPr>
          <w:rFonts w:ascii="Calibri" w:hAnsi="Calibri" w:cs="Calibri" w:hint="eastAsia"/>
        </w:rPr>
        <w:t>然而，</w:t>
      </w:r>
      <w:r w:rsidR="00106212">
        <w:rPr>
          <w:rFonts w:ascii="Calibri" w:hAnsi="Calibri" w:cs="Calibri" w:hint="eastAsia"/>
        </w:rPr>
        <w:t>僱主比非僱主更有可能接受特定的虐待行為，</w:t>
      </w:r>
      <w:r w:rsidR="009804CE">
        <w:rPr>
          <w:rFonts w:ascii="Calibri" w:hAnsi="Calibri" w:cs="Calibri" w:hint="eastAsia"/>
        </w:rPr>
        <w:t>尤其是</w:t>
      </w:r>
      <w:r w:rsidR="009804CE">
        <w:rPr>
          <w:rFonts w:ascii="Calibri" w:hAnsi="Calibri" w:cs="Calibri" w:hint="eastAsia"/>
        </w:rPr>
        <w:t>僱主更有可能接受</w:t>
      </w:r>
      <w:r w:rsidR="009804CE">
        <w:rPr>
          <w:rFonts w:ascii="Calibri" w:hAnsi="Calibri" w:cs="Calibri" w:hint="eastAsia"/>
        </w:rPr>
        <w:t>監視外傭手機及半夜叫醒外傭照顧兒童的行為。</w:t>
      </w:r>
    </w:p>
    <w:p w14:paraId="28BA8428" w14:textId="77777777" w:rsidR="00106212" w:rsidRDefault="00106212">
      <w:pPr>
        <w:rPr>
          <w:rFonts w:ascii="Calibri" w:hAnsi="Calibri" w:cs="Calibri" w:hint="eastAsia"/>
        </w:rPr>
      </w:pPr>
    </w:p>
    <w:p w14:paraId="1558C48E" w14:textId="5E2C98C7" w:rsidR="00FE0DBF" w:rsidRDefault="00A157C6">
      <w:pPr>
        <w:rPr>
          <w:rFonts w:ascii="Calibri" w:hAnsi="Calibri" w:cs="Calibri" w:hint="eastAsia"/>
        </w:rPr>
      </w:pPr>
      <w:r>
        <w:rPr>
          <w:rFonts w:ascii="Calibri" w:hAnsi="Calibri" w:cs="Calibri" w:hint="eastAsia"/>
        </w:rPr>
        <w:t>平均而言，外傭對家庭傭工工作條件及法律要求的了解程度較高。而</w:t>
      </w:r>
      <w:r w:rsidR="004E0196">
        <w:rPr>
          <w:rFonts w:ascii="Calibri" w:hAnsi="Calibri" w:cs="Calibri" w:hint="eastAsia"/>
        </w:rPr>
        <w:t>總體上，</w:t>
      </w:r>
      <w:r w:rsidR="009804CE">
        <w:rPr>
          <w:rFonts w:ascii="Calibri" w:hAnsi="Calibri" w:cs="Calibri" w:hint="eastAsia"/>
        </w:rPr>
        <w:t>來自</w:t>
      </w:r>
      <w:r>
        <w:rPr>
          <w:rFonts w:ascii="Calibri" w:hAnsi="Calibri" w:cs="Calibri" w:hint="eastAsia"/>
        </w:rPr>
        <w:t>菲律賓</w:t>
      </w:r>
      <w:r w:rsidR="009804CE">
        <w:rPr>
          <w:rFonts w:ascii="Calibri" w:hAnsi="Calibri" w:cs="Calibri" w:hint="eastAsia"/>
        </w:rPr>
        <w:t>的</w:t>
      </w:r>
      <w:r>
        <w:rPr>
          <w:rFonts w:ascii="Calibri" w:hAnsi="Calibri" w:cs="Calibri" w:hint="eastAsia"/>
        </w:rPr>
        <w:t>外傭</w:t>
      </w:r>
      <w:r w:rsidR="009804CE">
        <w:rPr>
          <w:rFonts w:ascii="Calibri" w:hAnsi="Calibri" w:cs="Calibri" w:hint="eastAsia"/>
        </w:rPr>
        <w:t>對外傭面臨</w:t>
      </w:r>
      <w:r>
        <w:rPr>
          <w:rFonts w:ascii="Calibri" w:hAnsi="Calibri" w:cs="Calibri" w:hint="eastAsia"/>
        </w:rPr>
        <w:t>問題的</w:t>
      </w:r>
      <w:r w:rsidR="004E0196">
        <w:rPr>
          <w:rFonts w:ascii="Calibri" w:hAnsi="Calibri" w:cs="Calibri" w:hint="eastAsia"/>
        </w:rPr>
        <w:t>了解程度亦高於</w:t>
      </w:r>
      <w:r w:rsidR="009804CE">
        <w:rPr>
          <w:rFonts w:ascii="Calibri" w:hAnsi="Calibri" w:cs="Calibri" w:hint="eastAsia"/>
        </w:rPr>
        <w:t>來自</w:t>
      </w:r>
      <w:r w:rsidR="004E0196">
        <w:rPr>
          <w:rFonts w:ascii="Calibri" w:hAnsi="Calibri" w:cs="Calibri" w:hint="eastAsia"/>
        </w:rPr>
        <w:t>印尼</w:t>
      </w:r>
      <w:r w:rsidR="009804CE">
        <w:rPr>
          <w:rFonts w:ascii="Calibri" w:hAnsi="Calibri" w:cs="Calibri" w:hint="eastAsia"/>
        </w:rPr>
        <w:t>的</w:t>
      </w:r>
      <w:r w:rsidR="004E0196">
        <w:rPr>
          <w:rFonts w:ascii="Calibri" w:hAnsi="Calibri" w:cs="Calibri" w:hint="eastAsia"/>
        </w:rPr>
        <w:t>外傭。這可能是因為他們在各自國家接受的</w:t>
      </w:r>
      <w:r w:rsidR="006149F9">
        <w:rPr>
          <w:rFonts w:ascii="Calibri" w:hAnsi="Calibri" w:cs="Calibri" w:hint="eastAsia"/>
        </w:rPr>
        <w:t>培訓及指導不同，或者是因</w:t>
      </w:r>
      <w:r w:rsidR="009804CE">
        <w:rPr>
          <w:rFonts w:ascii="Calibri" w:hAnsi="Calibri" w:cs="Calibri" w:hint="eastAsia"/>
        </w:rPr>
        <w:t>為教育程度不同，菲律賓人的教育水平</w:t>
      </w:r>
      <w:r w:rsidR="006149F9">
        <w:rPr>
          <w:rFonts w:ascii="Calibri" w:hAnsi="Calibri" w:cs="Calibri" w:hint="eastAsia"/>
        </w:rPr>
        <w:t>高於印尼人。</w:t>
      </w:r>
      <w:r w:rsidR="004B5E98">
        <w:rPr>
          <w:rFonts w:ascii="Calibri" w:hAnsi="Calibri" w:cs="Calibri" w:hint="eastAsia"/>
        </w:rPr>
        <w:t>與一般市民</w:t>
      </w:r>
      <w:r w:rsidR="00B17DA7">
        <w:rPr>
          <w:rFonts w:ascii="Calibri" w:hAnsi="Calibri" w:cs="Calibri" w:hint="eastAsia"/>
        </w:rPr>
        <w:t>相比，</w:t>
      </w:r>
      <w:r w:rsidR="005C5374">
        <w:rPr>
          <w:rFonts w:ascii="Calibri" w:hAnsi="Calibri" w:cs="Calibri" w:hint="eastAsia"/>
        </w:rPr>
        <w:t>外</w:t>
      </w:r>
      <w:r w:rsidR="00B5711F">
        <w:rPr>
          <w:rFonts w:ascii="Calibri" w:hAnsi="Calibri" w:cs="Calibri" w:hint="eastAsia"/>
        </w:rPr>
        <w:t>傭更可能認為勞動剝削及人</w:t>
      </w:r>
      <w:r w:rsidR="005C5374">
        <w:rPr>
          <w:rFonts w:ascii="Calibri" w:hAnsi="Calibri" w:cs="Calibri" w:hint="eastAsia"/>
        </w:rPr>
        <w:t>口販運在香港很</w:t>
      </w:r>
      <w:r w:rsidR="00B5711F">
        <w:rPr>
          <w:rFonts w:ascii="Calibri" w:hAnsi="Calibri" w:cs="Calibri" w:hint="eastAsia"/>
        </w:rPr>
        <w:t>普遍。</w:t>
      </w:r>
      <w:r w:rsidR="005C5374">
        <w:rPr>
          <w:rFonts w:ascii="Calibri" w:hAnsi="Calibri" w:cs="Calibri" w:hint="eastAsia"/>
        </w:rPr>
        <w:t>外</w:t>
      </w:r>
      <w:r w:rsidR="004B5E98">
        <w:rPr>
          <w:rFonts w:ascii="Calibri" w:hAnsi="Calibri" w:cs="Calibri" w:hint="eastAsia"/>
        </w:rPr>
        <w:t>傭認為</w:t>
      </w:r>
      <w:r w:rsidR="00234708">
        <w:rPr>
          <w:rFonts w:ascii="Calibri" w:hAnsi="Calibri" w:cs="Calibri" w:hint="eastAsia"/>
        </w:rPr>
        <w:t>，政府需要優先處理</w:t>
      </w:r>
      <w:r w:rsidR="004B5E98">
        <w:rPr>
          <w:rFonts w:ascii="Calibri" w:hAnsi="Calibri" w:cs="Calibri" w:hint="eastAsia"/>
        </w:rPr>
        <w:t>的是</w:t>
      </w:r>
      <w:r w:rsidR="00234708">
        <w:rPr>
          <w:rFonts w:ascii="Calibri" w:hAnsi="Calibri" w:cs="Calibri" w:hint="eastAsia"/>
        </w:rPr>
        <w:t>家傭就業問題。</w:t>
      </w:r>
      <w:r w:rsidR="005C5374">
        <w:rPr>
          <w:rFonts w:ascii="Calibri" w:hAnsi="Calibri" w:cs="Calibri" w:hint="eastAsia"/>
        </w:rPr>
        <w:t>外傭對反對勞動虐待的行動也有更高的參與意願，比如打警察電話以及與家人朋友傾談。有趣的是，與受訪的一般市民相比，外傭對不公待遇的容忍度也更高，</w:t>
      </w:r>
      <w:r w:rsidR="00FE0DBF">
        <w:rPr>
          <w:rFonts w:ascii="Calibri" w:hAnsi="Calibri" w:cs="Calibri" w:hint="eastAsia"/>
        </w:rPr>
        <w:t>這種容忍度隨著</w:t>
      </w:r>
      <w:r w:rsidR="004B5E98">
        <w:rPr>
          <w:rFonts w:ascii="Calibri" w:hAnsi="Calibri" w:cs="Calibri" w:hint="eastAsia"/>
        </w:rPr>
        <w:t>時間增加而增加。這正正</w:t>
      </w:r>
      <w:r w:rsidR="00FE0DBF">
        <w:rPr>
          <w:rFonts w:ascii="Calibri" w:hAnsi="Calibri" w:cs="Calibri" w:hint="eastAsia"/>
        </w:rPr>
        <w:t>表明，目睹或者親歷反復的虐待</w:t>
      </w:r>
      <w:r w:rsidR="004B5E98">
        <w:rPr>
          <w:rFonts w:ascii="Calibri" w:hAnsi="Calibri" w:cs="Calibri" w:hint="eastAsia"/>
        </w:rPr>
        <w:t>，</w:t>
      </w:r>
      <w:r w:rsidR="003C51DC">
        <w:rPr>
          <w:rFonts w:ascii="Calibri" w:hAnsi="Calibri" w:cs="Calibri" w:hint="eastAsia"/>
        </w:rPr>
        <w:t>致使</w:t>
      </w:r>
      <w:r w:rsidR="00FE0DBF">
        <w:rPr>
          <w:rFonts w:ascii="Calibri" w:hAnsi="Calibri" w:cs="Calibri" w:hint="eastAsia"/>
        </w:rPr>
        <w:t>外傭認為僱主的虐待</w:t>
      </w:r>
      <w:r w:rsidR="000A5366">
        <w:rPr>
          <w:rFonts w:ascii="Calibri" w:hAnsi="Calibri" w:cs="Calibri" w:hint="eastAsia"/>
        </w:rPr>
        <w:t>是職業生活隨之而來的一部分。</w:t>
      </w:r>
    </w:p>
    <w:p w14:paraId="53CC42D4" w14:textId="77777777" w:rsidR="000A5366" w:rsidRDefault="000A5366">
      <w:pPr>
        <w:rPr>
          <w:rFonts w:ascii="Calibri" w:hAnsi="Calibri" w:cs="Calibri" w:hint="eastAsia"/>
        </w:rPr>
      </w:pPr>
    </w:p>
    <w:p w14:paraId="097938CE" w14:textId="77777777" w:rsidR="00FE0DBF" w:rsidRDefault="00FE0DBF">
      <w:pPr>
        <w:rPr>
          <w:rFonts w:ascii="Calibri" w:hAnsi="Calibri" w:cs="Calibri" w:hint="eastAsia"/>
        </w:rPr>
      </w:pPr>
    </w:p>
    <w:p w14:paraId="0A84F9AD" w14:textId="56EE8C72" w:rsidR="00FE0DBF" w:rsidRPr="00FE0DBF" w:rsidRDefault="00FE0DBF">
      <w:pPr>
        <w:rPr>
          <w:rFonts w:ascii="Calibri" w:hAnsi="Calibri" w:cs="Calibri" w:hint="eastAsia"/>
          <w:b/>
          <w:i/>
          <w:sz w:val="28"/>
        </w:rPr>
      </w:pPr>
      <w:r>
        <w:rPr>
          <w:rFonts w:ascii="Calibri" w:hAnsi="Calibri" w:cs="Calibri" w:hint="eastAsia"/>
          <w:b/>
          <w:i/>
          <w:sz w:val="28"/>
        </w:rPr>
        <w:t>提升</w:t>
      </w:r>
      <w:r w:rsidR="005218D5">
        <w:rPr>
          <w:rFonts w:ascii="Calibri" w:hAnsi="Calibri" w:cs="Calibri" w:hint="eastAsia"/>
          <w:b/>
          <w:i/>
          <w:sz w:val="28"/>
        </w:rPr>
        <w:t>意識運動</w:t>
      </w:r>
      <w:r w:rsidRPr="00FE0DBF">
        <w:rPr>
          <w:rFonts w:ascii="Calibri" w:hAnsi="Calibri" w:cs="Calibri" w:hint="eastAsia"/>
          <w:b/>
          <w:i/>
          <w:sz w:val="28"/>
        </w:rPr>
        <w:t>的作用</w:t>
      </w:r>
    </w:p>
    <w:p w14:paraId="3C5CC9CC" w14:textId="2C669625" w:rsidR="00FE0DBF" w:rsidRDefault="00FE0DBF">
      <w:pPr>
        <w:rPr>
          <w:rFonts w:ascii="Calibri" w:hAnsi="Calibri" w:cs="Calibri" w:hint="eastAsia"/>
        </w:rPr>
      </w:pPr>
      <w:r>
        <w:rPr>
          <w:rFonts w:ascii="Calibri" w:hAnsi="Calibri" w:cs="Calibri" w:hint="eastAsia"/>
        </w:rPr>
        <w:t>總體而言，提升</w:t>
      </w:r>
      <w:r w:rsidR="000A5366">
        <w:rPr>
          <w:rFonts w:ascii="Calibri" w:hAnsi="Calibri" w:cs="Calibri" w:hint="eastAsia"/>
        </w:rPr>
        <w:t>意識運動積極地增進了</w:t>
      </w:r>
      <w:r w:rsidR="005220AD">
        <w:rPr>
          <w:rFonts w:ascii="Calibri" w:hAnsi="Calibri" w:cs="Calibri" w:hint="eastAsia"/>
        </w:rPr>
        <w:t>對</w:t>
      </w:r>
      <w:r>
        <w:rPr>
          <w:rFonts w:ascii="Calibri" w:hAnsi="Calibri" w:cs="Calibri" w:hint="eastAsia"/>
        </w:rPr>
        <w:t>強制勞動和外傭權益及工作條件的認知</w:t>
      </w:r>
      <w:r w:rsidR="000A5366">
        <w:rPr>
          <w:rFonts w:ascii="Calibri" w:hAnsi="Calibri" w:cs="Calibri" w:hint="eastAsia"/>
        </w:rPr>
        <w:t xml:space="preserve"> </w:t>
      </w:r>
      <w:r>
        <w:rPr>
          <w:rFonts w:ascii="Calibri" w:hAnsi="Calibri" w:cs="Calibri" w:hint="eastAsia"/>
        </w:rPr>
        <w:t>。但是，該運動對市民態度及行為的影響非常有限。</w:t>
      </w:r>
      <w:r w:rsidR="005220AD">
        <w:rPr>
          <w:rFonts w:ascii="Calibri" w:hAnsi="Calibri" w:cs="Calibri" w:hint="eastAsia"/>
        </w:rPr>
        <w:t>比起一般市民，外傭</w:t>
      </w:r>
      <w:r w:rsidR="000A5366">
        <w:rPr>
          <w:rFonts w:ascii="Calibri" w:hAnsi="Calibri" w:cs="Calibri" w:hint="eastAsia"/>
        </w:rPr>
        <w:t>更容易</w:t>
      </w:r>
      <w:r w:rsidR="005220AD">
        <w:rPr>
          <w:rFonts w:ascii="Calibri" w:hAnsi="Calibri" w:cs="Calibri" w:hint="eastAsia"/>
        </w:rPr>
        <w:t>受到該運動的影響。是次研究亦發現，錄像宣傳運動對大多數相關結果的影響也比海報</w:t>
      </w:r>
      <w:r w:rsidR="000A5366">
        <w:rPr>
          <w:rFonts w:ascii="Calibri" w:hAnsi="Calibri" w:cs="Calibri" w:hint="eastAsia"/>
        </w:rPr>
        <w:t>的作用</w:t>
      </w:r>
      <w:r w:rsidR="005220AD">
        <w:rPr>
          <w:rFonts w:ascii="Calibri" w:hAnsi="Calibri" w:cs="Calibri" w:hint="eastAsia"/>
        </w:rPr>
        <w:t>大。</w:t>
      </w:r>
    </w:p>
    <w:p w14:paraId="345E5EBB" w14:textId="77777777" w:rsidR="005220AD" w:rsidRDefault="005220AD">
      <w:pPr>
        <w:rPr>
          <w:rFonts w:ascii="Calibri" w:hAnsi="Calibri" w:cs="Calibri" w:hint="eastAsia"/>
        </w:rPr>
      </w:pPr>
    </w:p>
    <w:p w14:paraId="760B698E" w14:textId="40450C08" w:rsidR="005220AD" w:rsidRDefault="005220AD">
      <w:pPr>
        <w:rPr>
          <w:rFonts w:ascii="Calibri" w:hAnsi="Calibri" w:cs="Calibri" w:hint="eastAsia"/>
        </w:rPr>
      </w:pPr>
      <w:r>
        <w:rPr>
          <w:rFonts w:ascii="Calibri" w:hAnsi="Calibri" w:cs="Calibri" w:hint="eastAsia"/>
        </w:rPr>
        <w:t>特別針對一般市民，我們發現提升意識運動</w:t>
      </w:r>
      <w:r w:rsidR="000A5366">
        <w:rPr>
          <w:rFonts w:ascii="Calibri" w:hAnsi="Calibri" w:cs="Calibri" w:hint="eastAsia"/>
        </w:rPr>
        <w:t>對基本認知、態度及行為</w:t>
      </w:r>
      <w:r w:rsidR="0092040A">
        <w:rPr>
          <w:rFonts w:ascii="Calibri" w:hAnsi="Calibri" w:cs="Calibri" w:hint="eastAsia"/>
        </w:rPr>
        <w:t>的作用</w:t>
      </w:r>
      <w:r w:rsidR="000A5366">
        <w:rPr>
          <w:rFonts w:ascii="Calibri" w:hAnsi="Calibri" w:cs="Calibri" w:hint="eastAsia"/>
        </w:rPr>
        <w:t>符合我們的假設</w:t>
      </w:r>
      <w:r w:rsidR="0092040A">
        <w:rPr>
          <w:rFonts w:ascii="Calibri" w:hAnsi="Calibri" w:cs="Calibri" w:hint="eastAsia"/>
        </w:rPr>
        <w:t>。錄像宣傳比海報更有作用</w:t>
      </w:r>
      <w:r w:rsidR="00995C69">
        <w:rPr>
          <w:rFonts w:ascii="Calibri" w:hAnsi="Calibri" w:cs="Calibri" w:hint="eastAsia"/>
        </w:rPr>
        <w:t>。</w:t>
      </w:r>
      <w:r w:rsidR="0092040A">
        <w:rPr>
          <w:rFonts w:ascii="Calibri" w:hAnsi="Calibri" w:cs="Calibri" w:hint="eastAsia"/>
        </w:rPr>
        <w:t>這樣的作用</w:t>
      </w:r>
      <w:r w:rsidR="00FD1DF5">
        <w:rPr>
          <w:rFonts w:ascii="Calibri" w:hAnsi="Calibri" w:cs="Calibri" w:hint="eastAsia"/>
        </w:rPr>
        <w:t>對</w:t>
      </w:r>
      <w:r w:rsidR="000A5366">
        <w:rPr>
          <w:rFonts w:ascii="Calibri" w:hAnsi="Calibri" w:cs="Calibri" w:hint="eastAsia"/>
        </w:rPr>
        <w:t>與外傭有直接關係的人更有效果，亦即</w:t>
      </w:r>
      <w:r w:rsidR="004D5C5A">
        <w:rPr>
          <w:rFonts w:ascii="Calibri" w:hAnsi="Calibri" w:cs="Calibri" w:hint="eastAsia"/>
        </w:rPr>
        <w:t>是僱主。影響最大的是認知有關的變量，而不是態度和行為。</w:t>
      </w:r>
      <w:r w:rsidR="008E5B73">
        <w:rPr>
          <w:rFonts w:ascii="Calibri" w:hAnsi="Calibri" w:cs="Calibri" w:hint="eastAsia"/>
        </w:rPr>
        <w:t>錄像宣傳</w:t>
      </w:r>
      <w:r w:rsidR="004D5C5A">
        <w:rPr>
          <w:rFonts w:ascii="Calibri" w:hAnsi="Calibri" w:cs="Calibri" w:hint="eastAsia"/>
        </w:rPr>
        <w:t>提高</w:t>
      </w:r>
      <w:r w:rsidR="008E5B73">
        <w:rPr>
          <w:rFonts w:ascii="Calibri" w:hAnsi="Calibri" w:cs="Calibri" w:hint="eastAsia"/>
        </w:rPr>
        <w:t>了受訪者對</w:t>
      </w:r>
      <w:r w:rsidR="004D5C5A">
        <w:rPr>
          <w:rFonts w:ascii="Calibri" w:hAnsi="Calibri" w:cs="Calibri" w:hint="eastAsia"/>
        </w:rPr>
        <w:t>香港剝削外傭和強迫勞動問題嚴重性的認知</w:t>
      </w:r>
      <w:r w:rsidR="008E5B73">
        <w:rPr>
          <w:rFonts w:ascii="Calibri" w:hAnsi="Calibri" w:cs="Calibri" w:hint="eastAsia"/>
        </w:rPr>
        <w:t>，而海報宣傳只增加了對剝削外傭問題的認知。</w:t>
      </w:r>
    </w:p>
    <w:p w14:paraId="3AFC5E7E" w14:textId="77777777" w:rsidR="008E5B73" w:rsidRDefault="008E5B73">
      <w:pPr>
        <w:rPr>
          <w:rFonts w:ascii="Calibri" w:hAnsi="Calibri" w:cs="Calibri" w:hint="eastAsia"/>
        </w:rPr>
      </w:pPr>
    </w:p>
    <w:p w14:paraId="6BD889C2" w14:textId="306252DA" w:rsidR="008E5B73" w:rsidRDefault="005218D5">
      <w:pPr>
        <w:rPr>
          <w:rFonts w:ascii="Calibri" w:hAnsi="Calibri" w:cs="Calibri" w:hint="eastAsia"/>
        </w:rPr>
      </w:pPr>
      <w:r>
        <w:rPr>
          <w:rFonts w:ascii="Calibri" w:hAnsi="Calibri" w:cs="Calibri" w:hint="eastAsia"/>
        </w:rPr>
        <w:t>與一般市民相比，</w:t>
      </w:r>
      <w:r w:rsidR="005B414D">
        <w:rPr>
          <w:rFonts w:ascii="Calibri" w:hAnsi="Calibri" w:cs="Calibri" w:hint="eastAsia"/>
        </w:rPr>
        <w:t>總體而言，</w:t>
      </w:r>
      <w:r>
        <w:rPr>
          <w:rFonts w:ascii="Calibri" w:hAnsi="Calibri" w:cs="Calibri" w:hint="eastAsia"/>
        </w:rPr>
        <w:t>提升意識運動</w:t>
      </w:r>
      <w:r w:rsidR="008E5B73">
        <w:rPr>
          <w:rFonts w:ascii="Calibri" w:hAnsi="Calibri" w:cs="Calibri" w:hint="eastAsia"/>
        </w:rPr>
        <w:t>對外傭的影響較小。如上所述，</w:t>
      </w:r>
      <w:r w:rsidR="005B414D">
        <w:rPr>
          <w:rFonts w:ascii="Calibri" w:hAnsi="Calibri" w:cs="Calibri" w:hint="eastAsia"/>
        </w:rPr>
        <w:t>該運動對一般市民的認知有很強的作用。</w:t>
      </w:r>
      <w:r w:rsidR="00F4722C">
        <w:rPr>
          <w:rFonts w:ascii="Calibri" w:hAnsi="Calibri" w:cs="Calibri" w:hint="eastAsia"/>
        </w:rPr>
        <w:t>錄像宣傳顯著提升</w:t>
      </w:r>
      <w:r w:rsidR="005B414D">
        <w:rPr>
          <w:rFonts w:ascii="Calibri" w:hAnsi="Calibri" w:cs="Calibri" w:hint="eastAsia"/>
        </w:rPr>
        <w:t>一般市民在</w:t>
      </w:r>
      <w:r w:rsidR="00E91166">
        <w:rPr>
          <w:rFonts w:ascii="Calibri" w:hAnsi="Calibri" w:cs="Calibri" w:hint="eastAsia"/>
        </w:rPr>
        <w:t>認知水平的五個方面：休息時間、最低工資、</w:t>
      </w:r>
      <w:r w:rsidR="003C332D">
        <w:rPr>
          <w:rFonts w:ascii="Calibri" w:hAnsi="Calibri" w:cs="Calibri" w:hint="eastAsia"/>
        </w:rPr>
        <w:t>中介費</w:t>
      </w:r>
      <w:r w:rsidR="00AB4A5F">
        <w:rPr>
          <w:rFonts w:ascii="Calibri" w:hAnsi="Calibri" w:cs="Calibri" w:hint="eastAsia"/>
        </w:rPr>
        <w:t>、</w:t>
      </w:r>
      <w:r w:rsidR="005B414D">
        <w:rPr>
          <w:rFonts w:ascii="Calibri" w:hAnsi="Calibri" w:cs="Calibri" w:hint="eastAsia"/>
        </w:rPr>
        <w:t>保管護照以及香港外傭數目，但是錄像宣傳並不能影響外傭對自身權益和強制勞動的認知。至於態度方面，提升意識運動的作用有限。</w:t>
      </w:r>
      <w:r w:rsidR="006A15E8">
        <w:rPr>
          <w:rFonts w:ascii="Calibri" w:hAnsi="Calibri" w:cs="Calibri" w:hint="eastAsia"/>
        </w:rPr>
        <w:t>研究發現，提升意識運動顯著提升了外傭對香港勞工剝削、虐待及人口販運嚴重程度的認知。然而，對於其他與態度相關的衡量標準，譬如對虐待行為的接受程度及對受虐待外傭的同情，提升意識運動基本無效。</w:t>
      </w:r>
    </w:p>
    <w:p w14:paraId="27A955BE" w14:textId="77777777" w:rsidR="006A15E8" w:rsidRDefault="006A15E8">
      <w:pPr>
        <w:rPr>
          <w:rFonts w:ascii="Calibri" w:hAnsi="Calibri" w:cs="Calibri" w:hint="eastAsia"/>
        </w:rPr>
      </w:pPr>
    </w:p>
    <w:p w14:paraId="76EAFFC0" w14:textId="77777777" w:rsidR="006A15E8" w:rsidRDefault="006A15E8">
      <w:pPr>
        <w:rPr>
          <w:rFonts w:ascii="Calibri" w:hAnsi="Calibri" w:cs="Calibri" w:hint="eastAsia"/>
        </w:rPr>
      </w:pPr>
    </w:p>
    <w:p w14:paraId="72ACBF06" w14:textId="264B2FE5" w:rsidR="00FE0DBF" w:rsidRDefault="006A15E8">
      <w:pPr>
        <w:rPr>
          <w:rFonts w:ascii="Calibri" w:hAnsi="Calibri" w:cs="Calibri" w:hint="eastAsia"/>
          <w:b/>
          <w:i/>
          <w:sz w:val="28"/>
          <w:szCs w:val="28"/>
        </w:rPr>
      </w:pPr>
      <w:r w:rsidRPr="006A15E8">
        <w:rPr>
          <w:rFonts w:ascii="Calibri" w:hAnsi="Calibri" w:cs="Calibri" w:hint="eastAsia"/>
          <w:b/>
          <w:i/>
          <w:sz w:val="28"/>
          <w:szCs w:val="28"/>
        </w:rPr>
        <w:t>香港與尼泊爾之間提升意識運動的跨國比較</w:t>
      </w:r>
    </w:p>
    <w:p w14:paraId="1A798231" w14:textId="060CFAE0" w:rsidR="006A15E8" w:rsidRPr="006A15E8" w:rsidRDefault="006A15E8">
      <w:pPr>
        <w:rPr>
          <w:rFonts w:ascii="Calibri" w:hAnsi="Calibri" w:cs="Calibri" w:hint="eastAsia"/>
          <w:sz w:val="28"/>
          <w:szCs w:val="28"/>
        </w:rPr>
      </w:pPr>
      <w:r>
        <w:rPr>
          <w:rFonts w:ascii="Calibri" w:hAnsi="Calibri" w:cs="Calibri" w:hint="eastAsia"/>
        </w:rPr>
        <w:t>2015</w:t>
      </w:r>
      <w:r>
        <w:rPr>
          <w:rFonts w:ascii="Calibri" w:hAnsi="Calibri" w:cs="Calibri" w:hint="eastAsia"/>
        </w:rPr>
        <w:t>年，研究團隊進行一項類似的研究，分析打擊人口販運運動對尼泊爾普通民眾的影響。</w:t>
      </w:r>
      <w:r w:rsidR="00B22B57">
        <w:rPr>
          <w:rStyle w:val="FootnoteReference"/>
          <w:rFonts w:ascii="Calibri" w:hAnsi="Calibri" w:cs="Calibri"/>
        </w:rPr>
        <w:footnoteReference w:id="5"/>
      </w:r>
      <w:r>
        <w:rPr>
          <w:rFonts w:ascii="Calibri" w:hAnsi="Calibri" w:cs="Calibri" w:hint="eastAsia"/>
        </w:rPr>
        <w:t>比較這兩項研究的結果，我們發現尼泊爾普通民眾對強制勞動及人口販運的基本認知高於香港一般市民。尼泊爾的受訪者</w:t>
      </w:r>
      <w:r w:rsidR="00217332">
        <w:rPr>
          <w:rFonts w:ascii="Calibri" w:hAnsi="Calibri" w:cs="Calibri" w:hint="eastAsia"/>
        </w:rPr>
        <w:t>面對的是打擊人口販運的運動，而香港受訪者面對的運動則與外傭權益相關。比較兩個運動的效果，兩者都有效提高普通民眾</w:t>
      </w:r>
      <w:r w:rsidR="00217332">
        <w:rPr>
          <w:rFonts w:ascii="Calibri" w:hAnsi="Calibri" w:cs="Calibri" w:hint="eastAsia"/>
        </w:rPr>
        <w:t>/</w:t>
      </w:r>
      <w:r w:rsidR="00217332">
        <w:rPr>
          <w:rFonts w:ascii="Calibri" w:hAnsi="Calibri" w:cs="Calibri" w:hint="eastAsia"/>
        </w:rPr>
        <w:t>一般市民對運動所針對</w:t>
      </w:r>
      <w:r w:rsidR="00B22B57">
        <w:rPr>
          <w:rFonts w:ascii="Calibri" w:hAnsi="Calibri" w:cs="Calibri" w:hint="eastAsia"/>
        </w:rPr>
        <w:t>的</w:t>
      </w:r>
      <w:r w:rsidR="00217332">
        <w:rPr>
          <w:rFonts w:ascii="Calibri" w:hAnsi="Calibri" w:cs="Calibri" w:hint="eastAsia"/>
        </w:rPr>
        <w:t>問題的認知。同樣的是，兩個運動</w:t>
      </w:r>
      <w:r w:rsidR="00B22B57">
        <w:rPr>
          <w:rFonts w:ascii="Calibri" w:hAnsi="Calibri" w:cs="Calibri" w:hint="eastAsia"/>
        </w:rPr>
        <w:t>都</w:t>
      </w:r>
      <w:r w:rsidR="00217332">
        <w:rPr>
          <w:rFonts w:ascii="Calibri" w:hAnsi="Calibri" w:cs="Calibri" w:hint="eastAsia"/>
        </w:rPr>
        <w:t>提升了普通民眾</w:t>
      </w:r>
      <w:r w:rsidR="00217332">
        <w:rPr>
          <w:rFonts w:ascii="Calibri" w:hAnsi="Calibri" w:cs="Calibri" w:hint="eastAsia"/>
        </w:rPr>
        <w:t>/</w:t>
      </w:r>
      <w:r w:rsidR="00217332">
        <w:rPr>
          <w:rFonts w:ascii="Calibri" w:hAnsi="Calibri" w:cs="Calibri" w:hint="eastAsia"/>
        </w:rPr>
        <w:t>一般市民的感知水平，而對態度及行為</w:t>
      </w:r>
      <w:r w:rsidR="00B90938">
        <w:rPr>
          <w:rFonts w:ascii="Calibri" w:hAnsi="Calibri" w:cs="Calibri" w:hint="eastAsia"/>
        </w:rPr>
        <w:t>的</w:t>
      </w:r>
      <w:r w:rsidR="00217332">
        <w:rPr>
          <w:rFonts w:ascii="Calibri" w:hAnsi="Calibri" w:cs="Calibri" w:hint="eastAsia"/>
        </w:rPr>
        <w:t>影響</w:t>
      </w:r>
      <w:r w:rsidR="00B22B57">
        <w:rPr>
          <w:rFonts w:ascii="Calibri" w:hAnsi="Calibri" w:cs="Calibri" w:hint="eastAsia"/>
        </w:rPr>
        <w:t>都</w:t>
      </w:r>
      <w:r w:rsidR="00217332">
        <w:rPr>
          <w:rFonts w:ascii="Calibri" w:hAnsi="Calibri" w:cs="Calibri" w:hint="eastAsia"/>
        </w:rPr>
        <w:t>較小。兩項研究表明，提升意識運動有希望提升市民對強制勞動及各自社區該問題嚴重性的認知。</w:t>
      </w:r>
    </w:p>
    <w:p w14:paraId="0FFD084A" w14:textId="77777777" w:rsidR="00FE0DBF" w:rsidRDefault="00FE0DBF">
      <w:pPr>
        <w:rPr>
          <w:rFonts w:ascii="Calibri" w:hAnsi="Calibri" w:cs="Calibri" w:hint="eastAsia"/>
        </w:rPr>
      </w:pPr>
    </w:p>
    <w:p w14:paraId="72B4FB67" w14:textId="77777777" w:rsidR="00247517" w:rsidRPr="00935C14" w:rsidRDefault="00247517">
      <w:pPr>
        <w:rPr>
          <w:rFonts w:ascii="Calibri" w:hAnsi="Calibri" w:cs="Calibri"/>
        </w:rPr>
      </w:pPr>
    </w:p>
    <w:sectPr w:rsidR="00247517" w:rsidRPr="00935C14" w:rsidSect="001B444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830C9" w14:textId="77777777" w:rsidR="00426626" w:rsidRDefault="00426626" w:rsidP="00B22B57">
      <w:r>
        <w:separator/>
      </w:r>
    </w:p>
  </w:endnote>
  <w:endnote w:type="continuationSeparator" w:id="0">
    <w:p w14:paraId="330C7DF0" w14:textId="77777777" w:rsidR="00426626" w:rsidRDefault="00426626" w:rsidP="00B2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EB28" w14:textId="77777777" w:rsidR="00426626" w:rsidRDefault="00426626" w:rsidP="00B22B57">
      <w:r>
        <w:separator/>
      </w:r>
    </w:p>
  </w:footnote>
  <w:footnote w:type="continuationSeparator" w:id="0">
    <w:p w14:paraId="506FE9EB" w14:textId="77777777" w:rsidR="00426626" w:rsidRDefault="00426626" w:rsidP="00B22B57">
      <w:r>
        <w:continuationSeparator/>
      </w:r>
    </w:p>
  </w:footnote>
  <w:footnote w:id="1">
    <w:p w14:paraId="75902EED" w14:textId="3DE200A9" w:rsidR="00B22B57" w:rsidRDefault="00B22B57">
      <w:pPr>
        <w:pStyle w:val="FootnoteText"/>
        <w:rPr>
          <w:rFonts w:hint="eastAsia"/>
        </w:rPr>
      </w:pPr>
      <w:r>
        <w:rPr>
          <w:rStyle w:val="FootnoteReference"/>
        </w:rPr>
        <w:footnoteRef/>
      </w:r>
      <w:r>
        <w:t xml:space="preserve"> </w:t>
      </w:r>
      <w:r>
        <w:rPr>
          <w:sz w:val="18"/>
          <w:szCs w:val="18"/>
        </w:rPr>
        <w:t xml:space="preserve">Trading Economics. (2019). “Hong Kong Employed Persons.” Retrieved from </w:t>
      </w:r>
      <w:hyperlink r:id="rId1">
        <w:r>
          <w:rPr>
            <w:color w:val="1155CC"/>
            <w:sz w:val="18"/>
            <w:szCs w:val="18"/>
            <w:u w:val="single"/>
          </w:rPr>
          <w:t>https://tradingeconomics.com/hong-kong/employed-persons</w:t>
        </w:r>
      </w:hyperlink>
      <w:r>
        <w:rPr>
          <w:sz w:val="18"/>
          <w:szCs w:val="18"/>
        </w:rPr>
        <w:t xml:space="preserve">; Enrich HK. (2019). “The Value of Care.” Retrieved from </w:t>
      </w:r>
      <w:hyperlink r:id="rId2">
        <w:r>
          <w:rPr>
            <w:color w:val="1155CC"/>
            <w:sz w:val="18"/>
            <w:szCs w:val="18"/>
            <w:u w:val="single"/>
          </w:rPr>
          <w:t>https://enrichhk.org/sites/default/files/2019-09/Final_The-Value-of-Care_Full-Report.pdf</w:t>
        </w:r>
      </w:hyperlink>
      <w:r>
        <w:rPr>
          <w:sz w:val="18"/>
          <w:szCs w:val="18"/>
        </w:rPr>
        <w:t>.</w:t>
      </w:r>
    </w:p>
  </w:footnote>
  <w:footnote w:id="2">
    <w:p w14:paraId="693A6BB1" w14:textId="0E45B086" w:rsidR="00B22B57" w:rsidRDefault="00B22B57">
      <w:pPr>
        <w:pStyle w:val="FootnoteText"/>
        <w:rPr>
          <w:rFonts w:hint="eastAsia"/>
        </w:rPr>
      </w:pPr>
      <w:r>
        <w:rPr>
          <w:rStyle w:val="FootnoteReference"/>
        </w:rPr>
        <w:footnoteRef/>
      </w:r>
      <w:r>
        <w:t xml:space="preserve"> </w:t>
      </w:r>
      <w:r>
        <w:rPr>
          <w:sz w:val="18"/>
          <w:szCs w:val="18"/>
        </w:rPr>
        <w:t xml:space="preserve">Enrich HK. (2019). “The Value of Care.” Retrieved from </w:t>
      </w:r>
      <w:hyperlink r:id="rId3">
        <w:r>
          <w:rPr>
            <w:color w:val="1155CC"/>
            <w:sz w:val="18"/>
            <w:szCs w:val="18"/>
            <w:u w:val="single"/>
          </w:rPr>
          <w:t>https://enrichhk.org/sites/default/files/2019-09/Final_The-Value-of-Care_Full-Report.pdf</w:t>
        </w:r>
      </w:hyperlink>
      <w:r>
        <w:rPr>
          <w:sz w:val="18"/>
          <w:szCs w:val="18"/>
        </w:rPr>
        <w:t>.</w:t>
      </w:r>
    </w:p>
  </w:footnote>
  <w:footnote w:id="3">
    <w:p w14:paraId="1278EF75" w14:textId="02A3AAC5" w:rsidR="00B22B57" w:rsidRDefault="00B22B57">
      <w:pPr>
        <w:pStyle w:val="FootnoteText"/>
        <w:rPr>
          <w:rFonts w:hint="eastAsia"/>
        </w:rPr>
      </w:pPr>
      <w:r>
        <w:rPr>
          <w:rStyle w:val="FootnoteReference"/>
        </w:rPr>
        <w:footnoteRef/>
      </w:r>
      <w:r>
        <w:t xml:space="preserve"> </w:t>
      </w:r>
      <w:r>
        <w:rPr>
          <w:sz w:val="18"/>
          <w:szCs w:val="18"/>
        </w:rPr>
        <w:t>Ibid.</w:t>
      </w:r>
    </w:p>
  </w:footnote>
  <w:footnote w:id="4">
    <w:p w14:paraId="78D55E13" w14:textId="36B84632" w:rsidR="00B22B57" w:rsidRDefault="00B22B57">
      <w:pPr>
        <w:pStyle w:val="FootnoteText"/>
        <w:rPr>
          <w:rFonts w:hint="eastAsia"/>
        </w:rPr>
      </w:pPr>
      <w:r>
        <w:rPr>
          <w:rStyle w:val="FootnoteReference"/>
        </w:rPr>
        <w:footnoteRef/>
      </w:r>
      <w:r>
        <w:t xml:space="preserve"> </w:t>
      </w:r>
      <w:r>
        <w:rPr>
          <w:sz w:val="18"/>
          <w:szCs w:val="18"/>
        </w:rPr>
        <w:t>Ibid.</w:t>
      </w:r>
    </w:p>
  </w:footnote>
  <w:footnote w:id="5">
    <w:p w14:paraId="3B012743" w14:textId="7D0A26FA" w:rsidR="00B22B57" w:rsidRPr="00B22B57" w:rsidRDefault="00B22B57" w:rsidP="00B22B57">
      <w:pPr>
        <w:rPr>
          <w:rFonts w:hint="eastAsia"/>
          <w:sz w:val="20"/>
          <w:szCs w:val="20"/>
        </w:rPr>
      </w:pPr>
      <w:r>
        <w:rPr>
          <w:rStyle w:val="FootnoteReference"/>
        </w:rPr>
        <w:footnoteRef/>
      </w:r>
      <w:r>
        <w:rPr>
          <w:rFonts w:hint="eastAsia"/>
          <w:sz w:val="20"/>
          <w:szCs w:val="20"/>
        </w:rPr>
        <w:t xml:space="preserve"> </w:t>
      </w:r>
      <w:r>
        <w:rPr>
          <w:rFonts w:hint="eastAsia"/>
          <w:sz w:val="20"/>
          <w:szCs w:val="20"/>
        </w:rPr>
        <w:t>對是項研究的結果參見</w:t>
      </w:r>
      <w:r>
        <w:rPr>
          <w:sz w:val="20"/>
          <w:szCs w:val="20"/>
        </w:rPr>
        <w:t xml:space="preserve">: Archer, Dan, Margaret </w:t>
      </w:r>
      <w:proofErr w:type="spellStart"/>
      <w:r>
        <w:rPr>
          <w:sz w:val="20"/>
          <w:szCs w:val="20"/>
        </w:rPr>
        <w:t>Boittin</w:t>
      </w:r>
      <w:proofErr w:type="spellEnd"/>
      <w:r>
        <w:rPr>
          <w:sz w:val="20"/>
          <w:szCs w:val="20"/>
        </w:rPr>
        <w:t xml:space="preserve">, and Cecilia </w:t>
      </w:r>
      <w:proofErr w:type="spellStart"/>
      <w:r>
        <w:rPr>
          <w:sz w:val="20"/>
          <w:szCs w:val="20"/>
        </w:rPr>
        <w:t>Hyunjung</w:t>
      </w:r>
      <w:proofErr w:type="spellEnd"/>
      <w:r>
        <w:rPr>
          <w:sz w:val="20"/>
          <w:szCs w:val="20"/>
        </w:rPr>
        <w:t xml:space="preserve"> Mo. (2016). “Reducing Vulnerability to Human Trafficking: An Experimental Intervention Using Anti-Trafficking Campaigns to Change Knowledge, Attitudes, Beliefs, and Practices in Nepal.” Research and Innovation Grants Working Paper Series, USAID. Retrieved from: </w:t>
      </w:r>
      <w:hyperlink r:id="rId4">
        <w:r>
          <w:rPr>
            <w:color w:val="1155CC"/>
            <w:sz w:val="20"/>
            <w:szCs w:val="20"/>
            <w:u w:val="single"/>
          </w:rPr>
          <w:t>https://www. iie.o</w:t>
        </w:r>
        <w:bookmarkStart w:id="0" w:name="_GoBack"/>
        <w:bookmarkEnd w:id="0"/>
        <w:r>
          <w:rPr>
            <w:color w:val="1155CC"/>
            <w:sz w:val="20"/>
            <w:szCs w:val="20"/>
            <w:u w:val="single"/>
          </w:rPr>
          <w:t>rg/Research-and-Insights/Publications/DFG-Vanderbilt-Publication</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7A"/>
    <w:rsid w:val="00033E3E"/>
    <w:rsid w:val="000A5366"/>
    <w:rsid w:val="000D0009"/>
    <w:rsid w:val="00106212"/>
    <w:rsid w:val="00172622"/>
    <w:rsid w:val="001B4446"/>
    <w:rsid w:val="001D62DF"/>
    <w:rsid w:val="001E55A0"/>
    <w:rsid w:val="00217332"/>
    <w:rsid w:val="00234708"/>
    <w:rsid w:val="00247517"/>
    <w:rsid w:val="00252478"/>
    <w:rsid w:val="002A31AB"/>
    <w:rsid w:val="002C201A"/>
    <w:rsid w:val="0031603A"/>
    <w:rsid w:val="003C332D"/>
    <w:rsid w:val="003C51DC"/>
    <w:rsid w:val="003D2CA3"/>
    <w:rsid w:val="00426626"/>
    <w:rsid w:val="00432B42"/>
    <w:rsid w:val="00472784"/>
    <w:rsid w:val="004B5E98"/>
    <w:rsid w:val="004D5C5A"/>
    <w:rsid w:val="004E0196"/>
    <w:rsid w:val="00511CBB"/>
    <w:rsid w:val="005218D5"/>
    <w:rsid w:val="005220AD"/>
    <w:rsid w:val="00537D61"/>
    <w:rsid w:val="005B414D"/>
    <w:rsid w:val="005C5374"/>
    <w:rsid w:val="005D082E"/>
    <w:rsid w:val="006149F9"/>
    <w:rsid w:val="00651581"/>
    <w:rsid w:val="00673F63"/>
    <w:rsid w:val="006A15E8"/>
    <w:rsid w:val="006D4276"/>
    <w:rsid w:val="00733C24"/>
    <w:rsid w:val="00737ABC"/>
    <w:rsid w:val="00754F91"/>
    <w:rsid w:val="007D55E1"/>
    <w:rsid w:val="008072C4"/>
    <w:rsid w:val="008779F0"/>
    <w:rsid w:val="008E5B73"/>
    <w:rsid w:val="008F0304"/>
    <w:rsid w:val="00901623"/>
    <w:rsid w:val="0092040A"/>
    <w:rsid w:val="00935C14"/>
    <w:rsid w:val="0094450A"/>
    <w:rsid w:val="00946CD0"/>
    <w:rsid w:val="009804CE"/>
    <w:rsid w:val="00985EFB"/>
    <w:rsid w:val="00995C69"/>
    <w:rsid w:val="009E4D82"/>
    <w:rsid w:val="00A157C6"/>
    <w:rsid w:val="00A764BE"/>
    <w:rsid w:val="00AB4A5F"/>
    <w:rsid w:val="00B17DA7"/>
    <w:rsid w:val="00B22B57"/>
    <w:rsid w:val="00B5261A"/>
    <w:rsid w:val="00B5711F"/>
    <w:rsid w:val="00B90938"/>
    <w:rsid w:val="00BD245C"/>
    <w:rsid w:val="00C3636E"/>
    <w:rsid w:val="00CF7843"/>
    <w:rsid w:val="00E120E5"/>
    <w:rsid w:val="00E31F83"/>
    <w:rsid w:val="00E712AD"/>
    <w:rsid w:val="00E7337A"/>
    <w:rsid w:val="00E91166"/>
    <w:rsid w:val="00F4722C"/>
    <w:rsid w:val="00F664D2"/>
    <w:rsid w:val="00FC3183"/>
    <w:rsid w:val="00FD1DF5"/>
    <w:rsid w:val="00FE0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25FE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2B57"/>
  </w:style>
  <w:style w:type="character" w:customStyle="1" w:styleId="FootnoteTextChar">
    <w:name w:val="Footnote Text Char"/>
    <w:basedOn w:val="DefaultParagraphFont"/>
    <w:link w:val="FootnoteText"/>
    <w:uiPriority w:val="99"/>
    <w:rsid w:val="00B22B57"/>
  </w:style>
  <w:style w:type="character" w:styleId="FootnoteReference">
    <w:name w:val="footnote reference"/>
    <w:basedOn w:val="DefaultParagraphFont"/>
    <w:uiPriority w:val="99"/>
    <w:unhideWhenUsed/>
    <w:rsid w:val="00B22B57"/>
    <w:rPr>
      <w:vertAlign w:val="superscript"/>
    </w:rPr>
  </w:style>
  <w:style w:type="character" w:styleId="Hyperlink">
    <w:name w:val="Hyperlink"/>
    <w:basedOn w:val="DefaultParagraphFont"/>
    <w:uiPriority w:val="99"/>
    <w:unhideWhenUsed/>
    <w:rsid w:val="00B22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nrichhk.org/sites/default/files/2019-09/Final_The-Value-of-Care_Full-Report.pdf" TargetMode="External"/><Relationship Id="rId4" Type="http://schemas.openxmlformats.org/officeDocument/2006/relationships/hyperlink" Target="https://www.iie.org/Research-and-Insights/Publications/DFG-Vanderbilt-Publication" TargetMode="External"/><Relationship Id="rId1" Type="http://schemas.openxmlformats.org/officeDocument/2006/relationships/hyperlink" Target="https://tradingeconomics.com/hong-kong/employed-persons" TargetMode="External"/><Relationship Id="rId2" Type="http://schemas.openxmlformats.org/officeDocument/2006/relationships/hyperlink" Target="https://enrichhk.org/sites/default/files/2019-09/Final_The-Value-of-Care_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42e62e60-57e5-4e6a-9b91-5fe0ea398e14" xsi:nil="true"/>
    <QuestionsorComments xmlns="42e62e60-57e5-4e6a-9b91-5fe0ea398e14">On Hold - Waiting on ILAB to (A) create project page for "Vulnerability to Child Labor and Forced Labor: Experimental Interventions Using Mass Media to Change Norms and Behaviors" AND (B) to add Cantonese to Languages drop-down.</QuestionsorComments>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EA2CD601-B70D-1F4C-82CD-F8E9F984353B}">
  <ds:schemaRefs>
    <ds:schemaRef ds:uri="http://schemas.openxmlformats.org/officeDocument/2006/bibliography"/>
  </ds:schemaRefs>
</ds:datastoreItem>
</file>

<file path=customXml/itemProps2.xml><?xml version="1.0" encoding="utf-8"?>
<ds:datastoreItem xmlns:ds="http://schemas.openxmlformats.org/officeDocument/2006/customXml" ds:itemID="{A60F1F27-DEDA-4676-BCA9-F756977CAD2C}"/>
</file>

<file path=customXml/itemProps3.xml><?xml version="1.0" encoding="utf-8"?>
<ds:datastoreItem xmlns:ds="http://schemas.openxmlformats.org/officeDocument/2006/customXml" ds:itemID="{9BD4E5A1-50AB-4CE4-BBB6-831AC4C24811}"/>
</file>

<file path=customXml/itemProps4.xml><?xml version="1.0" encoding="utf-8"?>
<ds:datastoreItem xmlns:ds="http://schemas.openxmlformats.org/officeDocument/2006/customXml" ds:itemID="{3BBC564C-986F-40A3-B3CA-F38A0B091B92}"/>
</file>

<file path=docProps/app.xml><?xml version="1.0" encoding="utf-8"?>
<Properties xmlns="http://schemas.openxmlformats.org/officeDocument/2006/extended-properties" xmlns:vt="http://schemas.openxmlformats.org/officeDocument/2006/docPropsVTypes">
  <Template>Normal.dotm</Template>
  <TotalTime>235</TotalTime>
  <Pages>3</Pages>
  <Words>331</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FANG</dc:creator>
  <cp:keywords/>
  <dc:description/>
  <cp:lastModifiedBy>Jun FANG</cp:lastModifiedBy>
  <cp:revision>7</cp:revision>
  <dcterms:created xsi:type="dcterms:W3CDTF">2020-09-10T09:18:00Z</dcterms:created>
  <dcterms:modified xsi:type="dcterms:W3CDTF">2020-09-11T03:01:00Z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